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溪崑 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111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七八九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 1 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設計者：施玫伶</w:t>
      </w:r>
    </w:p>
    <w:p w:rsidR="00000000" w:rsidDel="00000000" w:rsidP="00000000" w:rsidRDefault="00000000" w:rsidRPr="00000000" w14:paraId="00000002">
      <w:pPr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rtl w:val="0"/>
        </w:rPr>
        <w:tab/>
      </w:r>
    </w:p>
    <w:p w:rsidR="00000000" w:rsidDel="00000000" w:rsidP="00000000" w:rsidRDefault="00000000" w:rsidRPr="00000000" w14:paraId="00000003">
      <w:pPr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    1.□國語文   2. □英語文   3.□健康與體育   4.□數學   5.□社會   6.□藝術  7.□自然科學 8.□科技  9.□綜合活動</w:t>
      </w:r>
    </w:p>
    <w:p w:rsidR="00000000" w:rsidDel="00000000" w:rsidP="00000000" w:rsidRDefault="00000000" w:rsidRPr="00000000" w14:paraId="00000004">
      <w:pPr>
        <w:spacing w:line="360" w:lineRule="auto"/>
        <w:ind w:firstLine="426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10.   </w:t>
      </w:r>
      <w:r w:rsidDel="00000000" w:rsidR="00000000" w:rsidRPr="00000000">
        <w:rPr>
          <w:rFonts w:ascii="DFKai-SB" w:cs="DFKai-SB" w:eastAsia="DFKai-SB" w:hAnsi="DFKai-SB"/>
          <w:color w:val="000000"/>
          <w:highlight w:val="darkGray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特殊需求-社交技巧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每週(1)節，實施(  21 )週，共( 21 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980"/>
        </w:tabs>
        <w:spacing w:line="36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</w:t>
      </w:r>
      <w:r w:rsidDel="00000000" w:rsidR="00000000" w:rsidRPr="00000000">
        <w:rPr>
          <w:rFonts w:ascii="DFKai-SB" w:cs="DFKai-SB" w:eastAsia="DFKai-SB" w:hAnsi="DFKai-SB"/>
          <w:rtl w:val="0"/>
        </w:rPr>
        <w:tab/>
      </w:r>
    </w:p>
    <w:tbl>
      <w:tblPr>
        <w:tblStyle w:val="Table1"/>
        <w:tblW w:w="14535.0" w:type="dxa"/>
        <w:jc w:val="center"/>
        <w:tblBorders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0"/>
        <w:gridCol w:w="11425"/>
        <w:tblGridChange w:id="0">
          <w:tblGrid>
            <w:gridCol w:w="3110"/>
            <w:gridCol w:w="11425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特社-J-A1 具備良好的身 心 發 展 與 態 度，為自己的 行 為 後 果 負 責。</w:t>
            </w:r>
          </w:p>
          <w:p w:rsidR="00000000" w:rsidDel="00000000" w:rsidP="00000000" w:rsidRDefault="00000000" w:rsidRPr="00000000" w14:paraId="00000013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特社-J-A2 具備理解情境 與運用適當的 策略解決生活 壓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力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的問題。</w:t>
            </w:r>
          </w:p>
          <w:p w:rsidR="00000000" w:rsidDel="00000000" w:rsidP="00000000" w:rsidRDefault="00000000" w:rsidRPr="00000000" w14:paraId="00000014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特社-J-B1 具備察覺他人 語言和非語言 溝通目的與意 圖，並以同理 心的角度與人 溝通。</w:t>
            </w:r>
          </w:p>
          <w:p w:rsidR="00000000" w:rsidDel="00000000" w:rsidP="00000000" w:rsidRDefault="00000000" w:rsidRPr="00000000" w14:paraId="00000015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特社-J-C1 具備道德實踐 能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力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，並參與 學校與社區關 懷生命與生態 環境的活動， 主動遵守法律 規約。</w:t>
            </w:r>
          </w:p>
          <w:p w:rsidR="00000000" w:rsidDel="00000000" w:rsidP="00000000" w:rsidRDefault="00000000" w:rsidRPr="00000000" w14:paraId="00000016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特社-J-C2 具備利他與合 群的態度，並 透過合作與人 和諧互動</w:t>
            </w:r>
          </w:p>
          <w:p w:rsidR="00000000" w:rsidDel="00000000" w:rsidP="00000000" w:rsidRDefault="00000000" w:rsidRPr="00000000" w14:paraId="00000017">
            <w:pPr>
              <w:tabs>
                <w:tab w:val="left" w:pos="870"/>
              </w:tabs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rPr>
          <w:rFonts w:ascii="DFKai-SB" w:cs="DFKai-SB" w:eastAsia="DFKai-SB" w:hAnsi="DFKai-SB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四、課程架構：無(自行視需要決定是否呈現)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00000000004" w:type="dxa"/>
        <w:jc w:val="center"/>
        <w:tblLayout w:type="fixed"/>
        <w:tblLook w:val="0600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  <w:tblGridChange w:id="0">
          <w:tblGrid>
            <w:gridCol w:w="1408"/>
            <w:gridCol w:w="1398"/>
            <w:gridCol w:w="1559"/>
            <w:gridCol w:w="2977"/>
            <w:gridCol w:w="709"/>
            <w:gridCol w:w="2268"/>
            <w:gridCol w:w="1417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~第四週</w:t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8/30</w:t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~9/25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特社C-Ⅲ-1 不同學習情境變化的適應與調整。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特社A-Ⅰ-1 基本情緒的認識與分辨。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特社A-Ⅱ-3 自我接納與激勵。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特社3-III-1 遵守不同課堂的規則。</w:t>
            </w:r>
          </w:p>
          <w:p w:rsidR="00000000" w:rsidDel="00000000" w:rsidP="00000000" w:rsidRDefault="00000000" w:rsidRPr="00000000" w14:paraId="00000037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特社1-I-2 藉由生理反應察覺及辨識壓力與情緒的反 應。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特社 1-II-1 嘗試因應與處理基本的情緒及壓力。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單元一 破解情緒炸彈-1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1第一週 ：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(2)觀賞影片腦急轉彎，從樂樂、憂憂、驚驚、怒怒與厭厭，討論主角的情緒，對情緒命名，並引伸討論學生生活中常出現的情緒為何？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(3)從影片中的島嶼討論主角的生活與個性，並進而討論自己在意的人事物。</w:t>
            </w:r>
          </w:p>
          <w:p w:rsidR="00000000" w:rsidDel="00000000" w:rsidP="00000000" w:rsidRDefault="00000000" w:rsidRPr="00000000" w14:paraId="0000003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2.第二週：</w:t>
            </w:r>
          </w:p>
          <w:p w:rsidR="00000000" w:rsidDel="00000000" w:rsidP="00000000" w:rsidRDefault="00000000" w:rsidRPr="00000000" w14:paraId="0000003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(1)輔助觀賞影片（慧卿的看電影聊人生）從電影中瞭解情緒角色的意義。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(2)引導學生使用情緒表達工具，認識非暴力溝通圖卡。</w:t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(3)回顧一天的生活，引導學生分享情緒起伏點，運用圖卡選出適合自己情緒感受的圖卡。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(4)引導回溯事件，練習客觀描述事件發生事實。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第三週：</w:t>
            </w:r>
          </w:p>
          <w:p w:rsidR="00000000" w:rsidDel="00000000" w:rsidP="00000000" w:rsidRDefault="00000000" w:rsidRPr="00000000" w14:paraId="0000004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(1)非暴力溝通圖卡的使用，學生練習從圖卡中挑選出適合自己感受的圖卡，並回溯事件。</w:t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(2)從感受中認識自我的需求，引導學生辨識感受的產生係因何種需求不滿足。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(3)透過對話，引導學生認識需求的滿足來自自我與他人，練習自我滿足需求的重要。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第四週：引導學生分享當有情緒時，自己抒解的方式，找出適合自己的情緒安撫方法。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A">
            <w:pPr>
              <w:ind w:left="317" w:hanging="31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B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哇咧新樂園</w:t>
            </w:r>
          </w:p>
          <w:p w:rsidR="00000000" w:rsidDel="00000000" w:rsidP="00000000" w:rsidRDefault="00000000" w:rsidRPr="00000000" w14:paraId="0000004C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4D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租用影片</w:t>
            </w:r>
          </w:p>
          <w:p w:rsidR="00000000" w:rsidDel="00000000" w:rsidP="00000000" w:rsidRDefault="00000000" w:rsidRPr="00000000" w14:paraId="0000004E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網站資源：</w:t>
            </w:r>
          </w:p>
          <w:p w:rsidR="00000000" w:rsidDel="00000000" w:rsidP="00000000" w:rsidRDefault="00000000" w:rsidRPr="00000000" w14:paraId="0000004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忍者食堂</w:t>
            </w:r>
          </w:p>
          <w:p w:rsidR="00000000" w:rsidDel="00000000" w:rsidP="00000000" w:rsidRDefault="00000000" w:rsidRPr="00000000" w14:paraId="00000050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2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53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54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55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第二週實施線上教學演練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ind w:hanging="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□實施跨領域或跨科目協同教學(需另申請授課鐘點費者)</w:t>
            </w:r>
          </w:p>
          <w:p w:rsidR="00000000" w:rsidDel="00000000" w:rsidP="00000000" w:rsidRDefault="00000000" w:rsidRPr="00000000" w14:paraId="0000005C">
            <w:pPr>
              <w:ind w:left="120" w:hanging="12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E">
            <w:pPr>
              <w:ind w:hanging="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hanging="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</w:t>
            </w:r>
          </w:p>
          <w:p w:rsidR="00000000" w:rsidDel="00000000" w:rsidP="00000000" w:rsidRDefault="00000000" w:rsidRPr="00000000" w14:paraId="0000006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~第九週</w:t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9/26~10/28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特社B-Ⅱ-1 訊息解讀的技巧。 特社B-Ⅱ-2 表達與傾聽的時機。特社B-Ⅲ-1 正負向訊息的判斷。 特社B-Ⅲ-2 話題的開啟與延續。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特社2-I-3 適當使用口語、非口語或輔具與人溝通。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單元二 破解情緒炸彈-2</w:t>
            </w:r>
          </w:p>
          <w:p w:rsidR="00000000" w:rsidDel="00000000" w:rsidP="00000000" w:rsidRDefault="00000000" w:rsidRPr="00000000" w14:paraId="0000006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觀看腦補QQ包影片，練習當事件發生時，可能的偏差思考。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分組討論：練習寫下想法。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教師介紹腦補怪物：讀星怪、放大怪、過濾怪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透過怪物特徵介紹認識腦補陷阱。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引導學生當事件發生時，先處理情緒再解決問題。</w:t>
            </w:r>
          </w:p>
          <w:p w:rsidR="00000000" w:rsidDel="00000000" w:rsidP="00000000" w:rsidRDefault="00000000" w:rsidRPr="00000000" w14:paraId="0000006C">
            <w:pPr>
              <w:ind w:left="23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第六週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透過看圖說話，學生描述人事物的語句，引導學生辨識客觀描述與主觀想法的差異。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介紹常見造成對立空間的四種想法：貼標籤、抱怨、責怪、命令。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分享討論，找出生活中自己或他人落在對立空間的可能時刻，提出對自己的情緒覺察力。或透過引爆地雷桌遊認識容易引發情緒的事件。</w:t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第七週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進行活動你說我畫，透過畫圖與說者描述產生的差異，引導學生思考溝通的重要。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進行心理測驗，瞭解溝通卡關的原因。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討論有效溝通小撇步，教師亦可提供參考如判斷時機、先傾聽、後發言。</w:t>
            </w:r>
          </w:p>
          <w:p w:rsidR="00000000" w:rsidDel="00000000" w:rsidP="00000000" w:rsidRDefault="00000000" w:rsidRPr="00000000" w14:paraId="00000074">
            <w:pPr>
              <w:ind w:left="23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23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第八週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提出觀賞影片的討論，學生先選出心目中的影片。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分組討論，採共識決定共同觀賞的影片。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透過討論的過程，老師觀察溝通過程，回饋給學生溝通勇敢溝通的重要。</w:t>
            </w:r>
          </w:p>
          <w:p w:rsidR="00000000" w:rsidDel="00000000" w:rsidP="00000000" w:rsidRDefault="00000000" w:rsidRPr="00000000" w14:paraId="0000007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第九週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將學生分為小組，每組提供思考轉化表，由教師搭配講解。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播放影片，討論劇情對話與事件，引導回想角色衝突的點，試著做轉化。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C">
            <w:pPr>
              <w:ind w:left="317" w:hanging="31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D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7E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網站資源：</w:t>
            </w:r>
          </w:p>
          <w:p w:rsidR="00000000" w:rsidDel="00000000" w:rsidP="00000000" w:rsidRDefault="00000000" w:rsidRPr="00000000" w14:paraId="0000007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忍者食堂</w:t>
            </w:r>
          </w:p>
          <w:p w:rsidR="00000000" w:rsidDel="00000000" w:rsidP="00000000" w:rsidRDefault="00000000" w:rsidRPr="00000000" w14:paraId="00000080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腦補怪進化桌遊</w:t>
            </w:r>
          </w:p>
          <w:p w:rsidR="00000000" w:rsidDel="00000000" w:rsidP="00000000" w:rsidRDefault="00000000" w:rsidRPr="00000000" w14:paraId="00000081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紙筆</w:t>
            </w:r>
          </w:p>
          <w:p w:rsidR="00000000" w:rsidDel="00000000" w:rsidP="00000000" w:rsidRDefault="00000000" w:rsidRPr="00000000" w14:paraId="00000082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4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85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86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87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8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08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ind w:hanging="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10/12~13段考</w:t>
            </w:r>
          </w:p>
        </w:tc>
      </w:tr>
      <w:tr>
        <w:trPr>
          <w:cantSplit w:val="0"/>
          <w:trHeight w:val="224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第十週10/31~</w:t>
            </w:r>
          </w:p>
          <w:p w:rsidR="00000000" w:rsidDel="00000000" w:rsidP="00000000" w:rsidRDefault="00000000" w:rsidRPr="00000000" w14:paraId="0000008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第十四週12/4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特社B-Ⅱ-1 訊息解讀的技巧。 特社B-Ⅱ-2 表達與傾聽的時機。特社B-Ⅲ-1 正負向訊息的判斷。 特社B-Ⅲ-2 話題的開啟與延續。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特社2-I-3 適當使用口語、非口語或輔具與人溝通。</w:t>
            </w:r>
          </w:p>
          <w:p w:rsidR="00000000" w:rsidDel="00000000" w:rsidP="00000000" w:rsidRDefault="00000000" w:rsidRPr="00000000" w14:paraId="0000008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特社2-II-1 解讀他人口語與非口語溝通的情緒及目 的，並反思自己是否有應留意或改善之處。</w:t>
            </w:r>
          </w:p>
          <w:p w:rsidR="00000000" w:rsidDel="00000000" w:rsidP="00000000" w:rsidRDefault="00000000" w:rsidRPr="00000000" w14:paraId="0000009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。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單元三 搭起友誼的橋樑</w:t>
            </w:r>
          </w:p>
          <w:p w:rsidR="00000000" w:rsidDel="00000000" w:rsidP="00000000" w:rsidRDefault="00000000" w:rsidRPr="00000000" w14:paraId="0000009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 讚美別人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播放錯誤版及正確版影片，向學生提問詢問他們看見甚麼?及比較異同。</w:t>
            </w:r>
          </w:p>
          <w:p w:rsidR="00000000" w:rsidDel="00000000" w:rsidP="00000000" w:rsidRDefault="00000000" w:rsidRPr="00000000" w14:paraId="0000009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2.教師詳述正確讚美別人的四個步驟， (1)步驟一：觀察別人的優點 (2)步驟二：想讚美的方式(3)步驟三：選一個讚美的方法 (4)步驟四：開始讚美對方 </w:t>
            </w:r>
          </w:p>
          <w:p w:rsidR="00000000" w:rsidDel="00000000" w:rsidP="00000000" w:rsidRDefault="00000000" w:rsidRPr="00000000" w14:paraId="0000009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3.教學者示範演練：教學者邀請自願的同學上臺演練，由教學 者擔任讚美別人四步驟的演練主角。</w:t>
            </w:r>
          </w:p>
          <w:p w:rsidR="00000000" w:rsidDel="00000000" w:rsidP="00000000" w:rsidRDefault="00000000" w:rsidRPr="00000000" w14:paraId="0000009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4.學生情境演練：教學者發下「讚美別人-學校演練步驟檢核表」以輪流的方式，讓每一位同學都能上臺擔 任主角，演練讚美別人的四個步驟(演練的情境則可抽附件一 的情境籤紙決定)。</w:t>
            </w:r>
          </w:p>
          <w:p w:rsidR="00000000" w:rsidDel="00000000" w:rsidP="00000000" w:rsidRDefault="00000000" w:rsidRPr="00000000" w14:paraId="0000009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第十一週 認識你我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發下九宮格，請學生依照格子寫下自己的興趣等相關資訊。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請學生起立離開座位，嘗試跟其他人交換資訊，邀請他人在與自己相同資訊的表格內簽名。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玩九宮格連連看，活動中認識他人與自己共同與相異的地方。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教師結語，及在活動中引導學生互相回饋，練習讚美他人，講出具體的地方。</w:t>
            </w:r>
          </w:p>
          <w:p w:rsidR="00000000" w:rsidDel="00000000" w:rsidP="00000000" w:rsidRDefault="00000000" w:rsidRPr="00000000" w14:paraId="0000009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第十二週 聽你聽我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使用我想聽你說的桌遊，任意挑選數個主題，由學生自我發表。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發表完畢，請學生分享印象最深刻的地方，教師觀察學生聆聽他人述說時的行為表現。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教師回饋學生於活動中具體的表現。強調交友過程聆聽他人的重要。</w:t>
            </w:r>
          </w:p>
          <w:p w:rsidR="00000000" w:rsidDel="00000000" w:rsidP="00000000" w:rsidRDefault="00000000" w:rsidRPr="00000000" w14:paraId="000000A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第十三週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使用貪心農場桌遊，由教師說明遊戲規則，開始試玩。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遊戲時觀察學生在聆聽規則上的行為表現。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有不清楚規則時學生主動練習提問。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觀察遊戲中的互動，遊戲結束時，引導學生發表感受。</w:t>
            </w:r>
          </w:p>
          <w:p w:rsidR="00000000" w:rsidDel="00000000" w:rsidP="00000000" w:rsidRDefault="00000000" w:rsidRPr="00000000" w14:paraId="000000A7">
            <w:pPr>
              <w:ind w:left="23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</w:t>
            </w:r>
          </w:p>
          <w:p w:rsidR="00000000" w:rsidDel="00000000" w:rsidP="00000000" w:rsidRDefault="00000000" w:rsidRPr="00000000" w14:paraId="000000A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綜合分組，將桌遊分成數桌，每一桌安置一位桌遊長，學生輪流在時間內與不同同學互動。</w:t>
            </w:r>
          </w:p>
          <w:p w:rsidR="00000000" w:rsidDel="00000000" w:rsidP="00000000" w:rsidRDefault="00000000" w:rsidRPr="00000000" w14:paraId="000000A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由教師回饋學生互動過程中的觀察。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B">
            <w:pPr>
              <w:ind w:left="317" w:hanging="31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C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簡報</w:t>
            </w:r>
          </w:p>
          <w:p w:rsidR="00000000" w:rsidDel="00000000" w:rsidP="00000000" w:rsidRDefault="00000000" w:rsidRPr="00000000" w14:paraId="000000AD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網站資源：</w:t>
            </w:r>
          </w:p>
          <w:p w:rsidR="00000000" w:rsidDel="00000000" w:rsidP="00000000" w:rsidRDefault="00000000" w:rsidRPr="00000000" w14:paraId="000000AE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影片</w:t>
            </w:r>
          </w:p>
          <w:p w:rsidR="00000000" w:rsidDel="00000000" w:rsidP="00000000" w:rsidRDefault="00000000" w:rsidRPr="00000000" w14:paraId="000000A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桌遊</w:t>
            </w:r>
          </w:p>
          <w:p w:rsidR="00000000" w:rsidDel="00000000" w:rsidP="00000000" w:rsidRDefault="00000000" w:rsidRPr="00000000" w14:paraId="000000B0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紙筆</w:t>
            </w:r>
          </w:p>
          <w:p w:rsidR="00000000" w:rsidDel="00000000" w:rsidP="00000000" w:rsidRDefault="00000000" w:rsidRPr="00000000" w14:paraId="000000B1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3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B4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B5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B6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ind w:hanging="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9/6~7九年級複習考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第十五週12/5~ 第二十一週~1/19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特社C-Ⅲ-1 不同學習情境變化的適應與調整。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特社B-Ⅱ-1 訊息解讀的技巧。特社B-Ⅲ-1 正負向訊息的判斷。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特社2-I-3 適當使用口語、非口語或輔具與人溝通。</w:t>
            </w:r>
          </w:p>
          <w:p w:rsidR="00000000" w:rsidDel="00000000" w:rsidP="00000000" w:rsidRDefault="00000000" w:rsidRPr="00000000" w14:paraId="000000B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特社2-II-1 解讀他人口語與非口語溝通的情緒及目 的，並反思自己是否有應留意或改善之處。</w:t>
            </w:r>
          </w:p>
          <w:p w:rsidR="00000000" w:rsidDel="00000000" w:rsidP="00000000" w:rsidRDefault="00000000" w:rsidRPr="00000000" w14:paraId="000000B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單元三 </w:t>
            </w:r>
          </w:p>
          <w:p w:rsidR="00000000" w:rsidDel="00000000" w:rsidP="00000000" w:rsidRDefault="00000000" w:rsidRPr="00000000" w14:paraId="000000C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</w:t>
            </w:r>
          </w:p>
          <w:p w:rsidR="00000000" w:rsidDel="00000000" w:rsidP="00000000" w:rsidRDefault="00000000" w:rsidRPr="00000000" w14:paraId="000000C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 學生書寫blob tree，學生分享自選位置原因，反應心理層面。</w:t>
            </w:r>
          </w:p>
          <w:p w:rsidR="00000000" w:rsidDel="00000000" w:rsidP="00000000" w:rsidRDefault="00000000" w:rsidRPr="00000000" w14:paraId="000000C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引導學生分享目前班級生活適應的酸甜苦辣。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從同學的分享中了解自己是否遇到類似的問題，分享自己如何處理，由教師引導學生了解問題解決的方</w:t>
            </w:r>
          </w:p>
          <w:p w:rsidR="00000000" w:rsidDel="00000000" w:rsidP="00000000" w:rsidRDefault="00000000" w:rsidRPr="00000000" w14:paraId="000000C7">
            <w:pPr>
              <w:ind w:left="23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第十六週</w:t>
            </w:r>
          </w:p>
          <w:p w:rsidR="00000000" w:rsidDel="00000000" w:rsidP="00000000" w:rsidRDefault="00000000" w:rsidRPr="00000000" w14:paraId="000000C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觀賞哆啦ㄟ夢影片，引導學生思考霸凌與被霸凌的議題。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引導學生從角色思考可以怎麼辦？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角色改寫篇，發下漫畫情節，邀請學生改編。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根據各組不同劇情扮演，練習情境反應。</w:t>
            </w:r>
          </w:p>
          <w:p w:rsidR="00000000" w:rsidDel="00000000" w:rsidP="00000000" w:rsidRDefault="00000000" w:rsidRPr="00000000" w14:paraId="000000C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第十七週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～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第十九週</w:t>
            </w:r>
          </w:p>
          <w:p w:rsidR="00000000" w:rsidDel="00000000" w:rsidP="00000000" w:rsidRDefault="00000000" w:rsidRPr="00000000" w14:paraId="000000D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1.分別共讀其實我不想霸凌別人，我被霸凌了怎麼辦，遇見霸凌，我要裝作沒看見嗎？</w:t>
            </w:r>
          </w:p>
          <w:p w:rsidR="00000000" w:rsidDel="00000000" w:rsidP="00000000" w:rsidRDefault="00000000" w:rsidRPr="00000000" w14:paraId="000000D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2.故事進行中進行問題與討論。</w:t>
            </w:r>
          </w:p>
          <w:p w:rsidR="00000000" w:rsidDel="00000000" w:rsidP="00000000" w:rsidRDefault="00000000" w:rsidRPr="00000000" w14:paraId="000000D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 邀請學生寫下自己遇到的問題</w:t>
            </w:r>
          </w:p>
          <w:p w:rsidR="00000000" w:rsidDel="00000000" w:rsidP="00000000" w:rsidRDefault="00000000" w:rsidRPr="00000000" w14:paraId="000000D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</w:t>
            </w: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～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二十一週</w:t>
            </w:r>
          </w:p>
          <w:p w:rsidR="00000000" w:rsidDel="00000000" w:rsidP="00000000" w:rsidRDefault="00000000" w:rsidRPr="00000000" w14:paraId="000000D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大家一起Ｑ＆Ａ</w:t>
            </w:r>
          </w:p>
          <w:p w:rsidR="00000000" w:rsidDel="00000000" w:rsidP="00000000" w:rsidRDefault="00000000" w:rsidRPr="00000000" w14:paraId="000000D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透過大家寫下的問題或老師蒐集到的問題，在團體中討論可以怎麼辦？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7">
            <w:pPr>
              <w:ind w:left="317" w:hanging="31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７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8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參考網站</w:t>
            </w:r>
          </w:p>
          <w:p w:rsidR="00000000" w:rsidDel="00000000" w:rsidP="00000000" w:rsidRDefault="00000000" w:rsidRPr="00000000" w14:paraId="000000D9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DFKai-SB" w:cs="DFKai-SB" w:eastAsia="DFKai-SB" w:hAnsi="DFKai-SB"/>
                  <w:color w:val="000000"/>
                  <w:sz w:val="24"/>
                  <w:szCs w:val="24"/>
                  <w:u w:val="single"/>
                  <w:rtl w:val="0"/>
                </w:rPr>
                <w:t xml:space="preserve">https://blog.xuite.net/kambiching/100/55203127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電子書</w:t>
            </w:r>
          </w:p>
          <w:p w:rsidR="00000000" w:rsidDel="00000000" w:rsidP="00000000" w:rsidRDefault="00000000" w:rsidRPr="00000000" w14:paraId="000000DD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租借影片</w:t>
            </w:r>
          </w:p>
          <w:p w:rsidR="00000000" w:rsidDel="00000000" w:rsidP="00000000" w:rsidRDefault="00000000" w:rsidRPr="00000000" w14:paraId="000000E0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3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E4">
            <w:pPr>
              <w:ind w:left="311" w:hanging="219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E5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E6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ind w:hanging="7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</w:p>
    <w:p w:rsidR="00000000" w:rsidDel="00000000" w:rsidP="00000000" w:rsidRDefault="00000000" w:rsidRPr="00000000" w14:paraId="000000EC">
      <w:pPr>
        <w:jc w:val="center"/>
        <w:rPr>
          <w:rFonts w:ascii="PMingLiu" w:cs="PMingLiu" w:eastAsia="PMingLiu" w:hAnsi="PMingLiu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61.0" w:type="dxa"/>
        <w:jc w:val="center"/>
        <w:tblLayout w:type="fixed"/>
        <w:tblLook w:val="0400"/>
      </w:tblPr>
      <w:tblGrid>
        <w:gridCol w:w="631"/>
        <w:gridCol w:w="1419"/>
        <w:gridCol w:w="1682"/>
        <w:gridCol w:w="4275"/>
        <w:gridCol w:w="1195"/>
        <w:gridCol w:w="1025"/>
        <w:gridCol w:w="4334"/>
        <w:tblGridChange w:id="0">
          <w:tblGrid>
            <w:gridCol w:w="631"/>
            <w:gridCol w:w="1419"/>
            <w:gridCol w:w="1682"/>
            <w:gridCol w:w="4275"/>
            <w:gridCol w:w="1195"/>
            <w:gridCol w:w="1025"/>
            <w:gridCol w:w="4334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序號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重要教育工作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納入課程規劃實施情形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本學期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相關規定說明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實施年級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領域學習或彈性學習課程別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生涯規劃教育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七~九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特殊需求~社交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五~九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涯 J4 了解自己的人格特質與價值觀。</w:t>
            </w:r>
          </w:p>
          <w:p w:rsidR="00000000" w:rsidDel="00000000" w:rsidP="00000000" w:rsidRDefault="00000000" w:rsidRPr="00000000" w14:paraId="0000010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七、本課程是否有校外人士協助教學</w:t>
      </w:r>
    </w:p>
    <w:p w:rsidR="00000000" w:rsidDel="00000000" w:rsidP="00000000" w:rsidRDefault="00000000" w:rsidRPr="00000000" w14:paraId="00000108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＊否，全學年都沒有(以下免填)</w:t>
      </w:r>
    </w:p>
    <w:p w:rsidR="00000000" w:rsidDel="00000000" w:rsidP="00000000" w:rsidRDefault="00000000" w:rsidRPr="00000000" w14:paraId="00000109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10A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□有，全學年實施</w:t>
      </w:r>
    </w:p>
    <w:tbl>
      <w:tblPr>
        <w:tblStyle w:val="Table4"/>
        <w:tblW w:w="15108.000000000002" w:type="dxa"/>
        <w:jc w:val="left"/>
        <w:tblInd w:w="-28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/>
          <w:p w:rsidR="00000000" w:rsidDel="00000000" w:rsidP="00000000" w:rsidRDefault="00000000" w:rsidRPr="00000000" w14:paraId="0000010C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/>
          <w:p w:rsidR="00000000" w:rsidDel="00000000" w:rsidP="00000000" w:rsidRDefault="00000000" w:rsidRPr="00000000" w14:paraId="0000010D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/>
          <w:p w:rsidR="00000000" w:rsidDel="00000000" w:rsidP="00000000" w:rsidRDefault="00000000" w:rsidRPr="00000000" w14:paraId="0000010E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/>
          <w:p w:rsidR="00000000" w:rsidDel="00000000" w:rsidP="00000000" w:rsidRDefault="00000000" w:rsidRPr="00000000" w14:paraId="0000010F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/>
          <w:p w:rsidR="00000000" w:rsidDel="00000000" w:rsidP="00000000" w:rsidRDefault="00000000" w:rsidRPr="00000000" w14:paraId="00000110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□簡報□印刷品□影音光碟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 </w:t>
            </w:r>
          </w:p>
        </w:tc>
        <w:tc>
          <w:tcPr/>
          <w:p w:rsidR="00000000" w:rsidDel="00000000" w:rsidP="00000000" w:rsidRDefault="00000000" w:rsidRPr="00000000" w14:paraId="0000011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125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Arial Unicode MS"/>
  <w:font w:name="PMingLiu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8">
    <w:lvl w:ilvl="0">
      <w:start w:val="1"/>
      <w:numFmt w:val="decimal"/>
      <w:lvlText w:val="(%1)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9">
    <w:lvl w:ilvl="0">
      <w:start w:val="1"/>
      <w:numFmt w:val="decimal"/>
      <w:lvlText w:val="(%1)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10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log.xuite.net/kambiching/100/55203127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