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溪崑 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110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七八九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2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施玫伶</w:t>
      </w:r>
    </w:p>
    <w:p w:rsidR="00000000" w:rsidDel="00000000" w:rsidP="00000000" w:rsidRDefault="00000000" w:rsidRPr="00000000" w14:paraId="00000002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ab/>
      </w:r>
    </w:p>
    <w:p w:rsidR="00000000" w:rsidDel="00000000" w:rsidP="00000000" w:rsidRDefault="00000000" w:rsidRPr="00000000" w14:paraId="00000003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1.□國語文   2. □英語文   3.□健康與體育   4.□數學   5.□社會   6.□藝術  7.□自然科學 8.□科技  9.□綜合活動</w:t>
      </w:r>
    </w:p>
    <w:p w:rsidR="00000000" w:rsidDel="00000000" w:rsidP="00000000" w:rsidRDefault="00000000" w:rsidRPr="00000000" w14:paraId="00000004">
      <w:pPr>
        <w:spacing w:line="360" w:lineRule="auto"/>
        <w:ind w:firstLine="426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10.   </w:t>
      </w:r>
      <w:r w:rsidDel="00000000" w:rsidR="00000000" w:rsidRPr="00000000">
        <w:rPr>
          <w:rFonts w:ascii="DFKai-SB" w:cs="DFKai-SB" w:eastAsia="DFKai-SB" w:hAnsi="DFKai-SB"/>
          <w:color w:val="000000"/>
          <w:highlight w:val="darkGray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特殊需求-社交技巧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二、學習節數：每週(1)節，實施(  21 )週，共( 21 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980"/>
        </w:tabs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三、課程內涵：</w:t>
        <w:tab/>
      </w:r>
    </w:p>
    <w:tbl>
      <w:tblPr>
        <w:tblStyle w:val="Table1"/>
        <w:tblW w:w="14535.0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11425"/>
        <w:tblGridChange w:id="0">
          <w:tblGrid>
            <w:gridCol w:w="3110"/>
            <w:gridCol w:w="11425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特社-J-A1 具備良好的身 心 發 展 與 態 度，為自己的 行 為 後 果 負 責。</w:t>
            </w:r>
          </w:p>
          <w:p w:rsidR="00000000" w:rsidDel="00000000" w:rsidP="00000000" w:rsidRDefault="00000000" w:rsidRPr="00000000" w14:paraId="00000013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特社-J-A2 具備理解情境 與運用適當的 策略解決生活 壓力的問題。</w:t>
            </w:r>
          </w:p>
          <w:p w:rsidR="00000000" w:rsidDel="00000000" w:rsidP="00000000" w:rsidRDefault="00000000" w:rsidRPr="00000000" w14:paraId="00000014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特社-J-B1 具備察覺他人 語言和非語言 溝通目的與意 圖，並以同理 心的角度與人 溝通。</w:t>
            </w:r>
          </w:p>
          <w:p w:rsidR="00000000" w:rsidDel="00000000" w:rsidP="00000000" w:rsidRDefault="00000000" w:rsidRPr="00000000" w14:paraId="00000015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特社-J-C1 具備道德實踐 能力，並參與 學校與社區關 懷生命與生態 環境的活動， 主動遵守法律 規約。</w:t>
            </w:r>
          </w:p>
          <w:p w:rsidR="00000000" w:rsidDel="00000000" w:rsidP="00000000" w:rsidRDefault="00000000" w:rsidRPr="00000000" w14:paraId="00000016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特社-J-C2 具備利他與合 群的態度，並 透過合作與人 和諧互動</w:t>
            </w:r>
          </w:p>
          <w:p w:rsidR="00000000" w:rsidDel="00000000" w:rsidP="00000000" w:rsidRDefault="00000000" w:rsidRPr="00000000" w14:paraId="00000017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四、課程架構：無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5.000000000002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6"/>
        <w:gridCol w:w="1558"/>
        <w:gridCol w:w="1559"/>
        <w:gridCol w:w="3424"/>
        <w:gridCol w:w="261"/>
        <w:gridCol w:w="2715"/>
        <w:gridCol w:w="969"/>
        <w:gridCol w:w="1559"/>
        <w:gridCol w:w="1784"/>
        <w:tblGridChange w:id="0">
          <w:tblGrid>
            <w:gridCol w:w="1246"/>
            <w:gridCol w:w="1558"/>
            <w:gridCol w:w="1559"/>
            <w:gridCol w:w="3424"/>
            <w:gridCol w:w="261"/>
            <w:gridCol w:w="2715"/>
            <w:gridCol w:w="969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備註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8/31~9/6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特社C-Ⅲ-1 不同學習情境變化的適應與調整。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特社3-III-1 遵守不同課堂的規則。</w:t>
            </w:r>
          </w:p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特社1-I-2 藉由生理反應察覺及辨識壓力與情緒的反 應。</w:t>
            </w:r>
          </w:p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開學相見歡</w:t>
            </w:r>
          </w:p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1.本學期特教組及學校重要行事曆說明</w:t>
            </w:r>
          </w:p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正向情緒篇-</w:t>
            </w:r>
          </w:p>
          <w:p w:rsidR="00000000" w:rsidDel="00000000" w:rsidP="00000000" w:rsidRDefault="00000000" w:rsidRPr="00000000" w14:paraId="00000038">
            <w:pPr>
              <w:ind w:left="360"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辨識情緒在自己生活中出現的情境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快樂 興奮 狂喜 溫馨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放鬆 平靜 活力 自豪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期待 有趣 欣賞 樂觀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情緒日記</w:t>
            </w:r>
          </w:p>
          <w:p w:rsidR="00000000" w:rsidDel="00000000" w:rsidP="00000000" w:rsidRDefault="00000000" w:rsidRPr="00000000" w14:paraId="0000004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非暴力溝通圖卡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4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4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特社A-Ⅱ-3 自我接納與激勵。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 1-II-1 嘗試因應與處理基本的情緒及壓力。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1.正向情緒篇-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辨識情緒在自己生活中出現的情境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感激 共鳴 重要 成功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信任 接納 佩服 順從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滿足 安全 親密 勇氣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1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2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情緒日記</w:t>
            </w:r>
          </w:p>
          <w:p w:rsidR="00000000" w:rsidDel="00000000" w:rsidP="00000000" w:rsidRDefault="00000000" w:rsidRPr="00000000" w14:paraId="00000053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非暴力溝通圖卡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55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56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基本情緒的認識與分辨。特社A-Ⅱ-3 自我接納與激勵。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 1-II-1 嘗試因應與處理基本的情緒及壓力。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1.負向情緒篇-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辨識情緒在自己生活中出現的情境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生氣 敵意 憤怒 挑釁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煩躁 受傷 挫折 苛責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討厭 無聊 噁心 輕視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4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5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情緒日記</w:t>
            </w:r>
          </w:p>
          <w:p w:rsidR="00000000" w:rsidDel="00000000" w:rsidP="00000000" w:rsidRDefault="00000000" w:rsidRPr="00000000" w14:paraId="00000066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非暴力溝通圖卡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68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6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特社A-Ⅱ-3 自我接納與激勵。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 1-II-1 嘗試因應與處理基本的情緒及壓力。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1.負向情緒篇-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辨識情緒在自己生活中出現的情境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自私 疏離 無奈 不爽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憂鬱 悲傷 痛心 悔恨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寂寞 孤獨 慚愧 內疚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情緒日記</w:t>
            </w:r>
          </w:p>
          <w:p w:rsidR="00000000" w:rsidDel="00000000" w:rsidP="00000000" w:rsidRDefault="00000000" w:rsidRPr="00000000" w14:paraId="0000007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非暴力溝通圖卡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7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7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特社A-Ⅱ-3 自我接納與激勵。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 1-II-1 嘗試因應與處理基本的情緒及壓力。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86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1.負向情緒篇-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辨識情緒在自己生活中出現的情境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害怕 緊張 恐懼 擔心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無助 尷尬 焦慮 氣餒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驚訝 困惑 震驚 失望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分心 懷疑 刺激 疲倦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情緒日記</w:t>
            </w:r>
          </w:p>
          <w:p w:rsidR="00000000" w:rsidDel="00000000" w:rsidP="00000000" w:rsidRDefault="00000000" w:rsidRPr="00000000" w14:paraId="0000008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非暴力溝通圖卡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9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9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第六週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9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我們是同一掛的(一)</w:t>
            </w:r>
          </w:p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09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A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A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第七週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我們是同一掛的(一)</w:t>
            </w:r>
          </w:p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B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B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第八週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冰紅茶霸凌事件(一)</w:t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B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C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C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C3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第九週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C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冰紅茶霸凌事件(二)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A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B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C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C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D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第十週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戀愛傳染病(一)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9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0DB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D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D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第十一週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E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戀愛傳染病(二)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8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9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0E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E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E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E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F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第十二週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0F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抱怨靠邊站(二)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7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0F9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A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F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F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F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0FF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第十三週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社會情緒故事與討論</w:t>
            </w:r>
          </w:p>
          <w:p w:rsidR="00000000" w:rsidDel="00000000" w:rsidP="00000000" w:rsidRDefault="00000000" w:rsidRPr="00000000" w14:paraId="000001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抱怨靠邊站(二)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6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7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繪本</w:t>
            </w:r>
          </w:p>
          <w:p w:rsidR="00000000" w:rsidDel="00000000" w:rsidP="00000000" w:rsidRDefault="00000000" w:rsidRPr="00000000" w14:paraId="0000010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0A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0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1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J14 培養並涵化道德倫理意義於日常生活。</w:t>
            </w:r>
          </w:p>
          <w:p w:rsidR="00000000" w:rsidDel="00000000" w:rsidP="00000000" w:rsidRDefault="00000000" w:rsidRPr="00000000" w14:paraId="0000010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第十四週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特社2-I-3 適當使用口語、非口語或輔具與人溝通。</w:t>
            </w:r>
          </w:p>
          <w:p w:rsidR="00000000" w:rsidDel="00000000" w:rsidP="00000000" w:rsidRDefault="00000000" w:rsidRPr="00000000" w14:paraId="00000115">
            <w:pPr>
              <w:rPr>
                <w:rFonts w:ascii="DFKai-SB" w:cs="DFKai-SB" w:eastAsia="DFKai-SB" w:hAnsi="DFKai-SB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f5496"/>
                <w:rtl w:val="0"/>
              </w:rPr>
              <w:t xml:space="preserve">特社2-II-1 解讀他人口語與非口語溝通的情緒及目 的，並反思自己是否有應留意或改善之處。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119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播放影片</w:t>
            </w:r>
          </w:p>
          <w:p w:rsidR="00000000" w:rsidDel="00000000" w:rsidP="00000000" w:rsidRDefault="00000000" w:rsidRPr="00000000" w14:paraId="0000011A">
            <w:pPr>
              <w:widowControl w:val="1"/>
              <w:shd w:fill="f9f9f9" w:val="clea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知彼解己的溝通語言_讚美的原則</w:t>
            </w:r>
          </w:p>
          <w:p w:rsidR="00000000" w:rsidDel="00000000" w:rsidP="00000000" w:rsidRDefault="00000000" w:rsidRPr="00000000" w14:paraId="0000011B">
            <w:pPr>
              <w:widowControl w:val="1"/>
              <w:shd w:fill="f9f9f9" w:val="clea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24"/>
                <w:szCs w:val="24"/>
                <w:rtl w:val="0"/>
              </w:rPr>
              <w:t xml:space="preserve">知彼解己的溝通語言_三明治法</w:t>
            </w:r>
          </w:p>
          <w:p w:rsidR="00000000" w:rsidDel="00000000" w:rsidP="00000000" w:rsidRDefault="00000000" w:rsidRPr="00000000" w14:paraId="0000011D">
            <w:pPr>
              <w:widowControl w:val="1"/>
              <w:shd w:fill="f9f9f9" w:val="clea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F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121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122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2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25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第十五週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B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12C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播放影片</w:t>
            </w:r>
          </w:p>
          <w:p w:rsidR="00000000" w:rsidDel="00000000" w:rsidP="00000000" w:rsidRDefault="00000000" w:rsidRPr="00000000" w14:paraId="0000012D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24"/>
                <w:szCs w:val="24"/>
                <w:rtl w:val="0"/>
              </w:rPr>
              <w:t xml:space="preserve">知彼解己的溝通語言_什麼是問句模式？</w:t>
            </w:r>
          </w:p>
          <w:p w:rsidR="00000000" w:rsidDel="00000000" w:rsidP="00000000" w:rsidRDefault="00000000" w:rsidRPr="00000000" w14:paraId="0000012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24"/>
                <w:szCs w:val="24"/>
                <w:rtl w:val="0"/>
              </w:rPr>
              <w:t xml:space="preserve">知彼解己的溝通語言_面對扭曲的問句模式</w:t>
            </w:r>
          </w:p>
          <w:p w:rsidR="00000000" w:rsidDel="00000000" w:rsidP="00000000" w:rsidRDefault="00000000" w:rsidRPr="00000000" w14:paraId="0000013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3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4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135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136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7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38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3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第十六週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F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140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播放影片</w:t>
            </w:r>
          </w:p>
          <w:p w:rsidR="00000000" w:rsidDel="00000000" w:rsidP="00000000" w:rsidRDefault="00000000" w:rsidRPr="00000000" w14:paraId="00000141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24"/>
                <w:szCs w:val="24"/>
                <w:rtl w:val="0"/>
              </w:rPr>
              <w:t xml:space="preserve">知彼解己的溝通習慣_傾聽的種類</w:t>
            </w:r>
          </w:p>
          <w:p w:rsidR="00000000" w:rsidDel="00000000" w:rsidP="00000000" w:rsidRDefault="00000000" w:rsidRPr="00000000" w14:paraId="000001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5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6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147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14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4A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4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第十七週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152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播放影片</w:t>
            </w:r>
          </w:p>
          <w:p w:rsidR="00000000" w:rsidDel="00000000" w:rsidP="00000000" w:rsidRDefault="00000000" w:rsidRPr="00000000" w14:paraId="00000153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24"/>
                <w:szCs w:val="24"/>
                <w:rtl w:val="0"/>
              </w:rPr>
              <w:t xml:space="preserve">知彼解己的溝通習慣_沒興趣</w:t>
            </w:r>
          </w:p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7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159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15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5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5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第十八週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特社B-Ⅰ-3 人際關係的建立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特社B-Ⅰ-5 性別互動的基本禮儀。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165">
            <w:pPr>
              <w:rPr>
                <w:rFonts w:ascii="DFKai-SB" w:cs="DFKai-SB" w:eastAsia="DFKai-SB" w:hAnsi="DFKai-SB"/>
                <w:color w:val="000000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播放影片</w:t>
            </w:r>
          </w:p>
          <w:p w:rsidR="00000000" w:rsidDel="00000000" w:rsidP="00000000" w:rsidRDefault="00000000" w:rsidRPr="00000000" w14:paraId="00000166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  <w:rtl w:val="0"/>
              </w:rPr>
              <w:t xml:space="preserve">知彼解己的溝通習慣_同理心定義</w:t>
            </w:r>
          </w:p>
          <w:p w:rsidR="00000000" w:rsidDel="00000000" w:rsidP="00000000" w:rsidRDefault="00000000" w:rsidRPr="00000000" w14:paraId="00000168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  <w:rtl w:val="0"/>
              </w:rPr>
              <w:t xml:space="preserve">知彼解己的溝通習慣_情緒感覺辨識練習</w:t>
            </w:r>
          </w:p>
          <w:p w:rsidR="00000000" w:rsidDel="00000000" w:rsidP="00000000" w:rsidRDefault="00000000" w:rsidRPr="00000000" w14:paraId="0000016A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Style w:val="Heading1"/>
              <w:shd w:fill="f9f9f9" w:val="clear"/>
              <w:spacing w:after="0" w:before="0" w:lineRule="auto"/>
              <w:rPr>
                <w:rFonts w:ascii="DFKai-SB" w:cs="DFKai-SB" w:eastAsia="DFKai-SB" w:hAnsi="DFKai-SB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16F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17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7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7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第十九週</w:t>
            </w:r>
          </w:p>
          <w:p w:rsidR="00000000" w:rsidDel="00000000" w:rsidP="00000000" w:rsidRDefault="00000000" w:rsidRPr="00000000" w14:paraId="00000177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如一~十八週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9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如一~十八週</w:t>
            </w:r>
          </w:p>
          <w:p w:rsidR="00000000" w:rsidDel="00000000" w:rsidP="00000000" w:rsidRDefault="00000000" w:rsidRPr="00000000" w14:paraId="0000017A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B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複習與回饋</w:t>
            </w:r>
          </w:p>
          <w:p w:rsidR="00000000" w:rsidDel="00000000" w:rsidP="00000000" w:rsidRDefault="00000000" w:rsidRPr="00000000" w14:paraId="0000017C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第二十週</w:t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複習與回饋</w:t>
            </w:r>
          </w:p>
          <w:p w:rsidR="00000000" w:rsidDel="00000000" w:rsidP="00000000" w:rsidRDefault="00000000" w:rsidRPr="00000000" w14:paraId="0000018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7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8">
            <w:pPr>
              <w:ind w:left="92" w:hanging="6.999999999999993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1"/>
        <w:ind w:firstLine="23"/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主題實施規劃</w:t>
      </w:r>
    </w:p>
    <w:tbl>
      <w:tblPr>
        <w:tblStyle w:val="Table3"/>
        <w:tblW w:w="12953.999999999998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714"/>
        <w:gridCol w:w="1674"/>
        <w:gridCol w:w="1343"/>
        <w:gridCol w:w="3502"/>
        <w:gridCol w:w="2396"/>
        <w:gridCol w:w="1194"/>
        <w:gridCol w:w="2131"/>
        <w:tblGridChange w:id="0">
          <w:tblGrid>
            <w:gridCol w:w="714"/>
            <w:gridCol w:w="1674"/>
            <w:gridCol w:w="1343"/>
            <w:gridCol w:w="3502"/>
            <w:gridCol w:w="2396"/>
            <w:gridCol w:w="1194"/>
            <w:gridCol w:w="213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序號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重要教育工作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納入課程規劃實施情形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1"/>
              <w:ind w:firstLine="23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0"/>
                <w:szCs w:val="2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本學期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相關規定說明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領域學習或彈性學習課程別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週次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七~九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特殊需求~社交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第一週至第五週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第一週至第五週</w:t>
            </w:r>
          </w:p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生涯規劃教育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七~九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特殊需求~社交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第六週至第十八週</w:t>
            </w:r>
          </w:p>
          <w:p w:rsidR="00000000" w:rsidDel="00000000" w:rsidP="00000000" w:rsidRDefault="00000000" w:rsidRPr="00000000" w14:paraId="000001B0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</w:t>
            </w:r>
          </w:p>
        </w:tc>
        <w:tc>
          <w:tcPr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第六週至第十八週</w:t>
            </w:r>
          </w:p>
          <w:p w:rsidR="00000000" w:rsidDel="00000000" w:rsidP="00000000" w:rsidRDefault="00000000" w:rsidRPr="00000000" w14:paraId="000001B3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涯J4 涯J14</w:t>
            </w:r>
          </w:p>
        </w:tc>
      </w:tr>
    </w:tbl>
    <w:p w:rsidR="00000000" w:rsidDel="00000000" w:rsidP="00000000" w:rsidRDefault="00000000" w:rsidRPr="00000000" w14:paraId="000001B4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新北市溪崑國民中學110學年度第1學期  7-9年級  特殊需求-社交技巧  領域教學進度總表</w:t>
      </w:r>
    </w:p>
    <w:tbl>
      <w:tblPr>
        <w:tblStyle w:val="Table4"/>
        <w:tblW w:w="1461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981"/>
        <w:gridCol w:w="2890"/>
        <w:gridCol w:w="2072"/>
        <w:gridCol w:w="2693"/>
        <w:gridCol w:w="1985"/>
        <w:gridCol w:w="2989"/>
        <w:tblGridChange w:id="0">
          <w:tblGrid>
            <w:gridCol w:w="1981"/>
            <w:gridCol w:w="2890"/>
            <w:gridCol w:w="2072"/>
            <w:gridCol w:w="2693"/>
            <w:gridCol w:w="1985"/>
            <w:gridCol w:w="2989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第一週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認識情緒 </w:t>
            </w:r>
          </w:p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:正向情緒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第八週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C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冰紅茶霸凌事件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第十五週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知彼解己的溝通語言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第二週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1C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:正向情緒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第九週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C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冰紅茶霸凌事件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第十六週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知彼解己的溝通習慣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第三週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:負向情緒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第十週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戀愛傳染病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第十七週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知彼解己的溝通習慣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第四週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:負向情緒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第十一週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戀愛傳染病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第十八週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知彼解己的溝通習慣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第五週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1D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:負向情緒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第十二週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抱怨靠邊站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第十九週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第六週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我們都是同一掛的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第十三週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抱怨靠邊站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第二十週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第七週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社會情緒故事</w:t>
            </w:r>
          </w:p>
          <w:p w:rsidR="00000000" w:rsidDel="00000000" w:rsidP="00000000" w:rsidRDefault="00000000" w:rsidRPr="00000000" w14:paraId="000001E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我們都是同一掛的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第十四週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知彼解己的溝通語言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PMingLiu"/>
  <w:font w:name="Georgia"/>
  <w:font w:name="DFKai-SB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PMingLiu" w:cs="PMingLiu" w:eastAsia="PMingLiu" w:hAnsi="PMingLiu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