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溪崑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三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＿周淑貞＿＿＿＿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1.□國語文   2.□英語文   3.□健康與體育   4.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數學   5.□社會   6.□藝術  7.□自然科學 8.□科技  9.□綜合活動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二、學習節數：每週(4)節，實施(21)週，共(84)節。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80"/>
        </w:tabs>
        <w:spacing w:after="0" w:before="0" w:line="36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三、課程內涵：</w:t>
        <w:tab/>
      </w:r>
    </w:p>
    <w:tbl>
      <w:tblPr>
        <w:tblStyle w:val="Table1"/>
        <w:tblW w:w="14541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trHeight w:val="844" w:hRule="atLeast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學習領域核心素養</w:t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4"/>
                <w:szCs w:val="24"/>
                <w:highlight w:val="black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數-J-A1:對於學習數學有信心和正向態度，能使用適當的數學語言進行溝通，並能將所學應用於日常生活中。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數-J-A3:具備識別現實生活問題和數學關聯的能力，可從多元、彈性角度擬定問題解決計畫，並能將問題解答轉化於真實世界。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數-J-B1:具備處理代數與幾何中數學關係的能力，並用以描述情境中的現象。能在經驗範圍內，以數學語言表述平面與空間的基本關係和性質。能以基本的統計量與機率，描述生活中不確定性的程度。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數-J-B2:具備正確使用計算機以增進學習的素養，包含知道其適用性與限制、認識其與數學知識的輔成價值 並能用以執行數學程序。能認識統計資料的基本特徵。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數-J-B3:具備辨認藝術作品中的幾何形體或數量關係的素養 並能在數學的推導中，享受數學之美。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數-J-C2:樂於與他人良好互動與溝通以解決問題，並欣賞問題的多元解法。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數-J-C1:具備從證據討論與反思事情的態度，提出合理的論述，並能和他人進行理性溝通與合作。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四、課程架構：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無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五、素養導向教學規劃：</w:t>
      </w:r>
    </w:p>
    <w:tbl>
      <w:tblPr>
        <w:tblStyle w:val="Table2"/>
        <w:tblW w:w="1507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88"/>
        <w:gridCol w:w="2197"/>
        <w:gridCol w:w="2198"/>
        <w:gridCol w:w="2268"/>
        <w:gridCol w:w="567"/>
        <w:gridCol w:w="1701"/>
        <w:gridCol w:w="1417"/>
        <w:gridCol w:w="1559"/>
        <w:gridCol w:w="1784"/>
        <w:tblGridChange w:id="0">
          <w:tblGrid>
            <w:gridCol w:w="1388"/>
            <w:gridCol w:w="2197"/>
            <w:gridCol w:w="2198"/>
            <w:gridCol w:w="2268"/>
            <w:gridCol w:w="567"/>
            <w:gridCol w:w="1701"/>
            <w:gridCol w:w="1417"/>
            <w:gridCol w:w="1559"/>
            <w:gridCol w:w="1784"/>
          </w:tblGrid>
        </w:tblGridChange>
      </w:tblGrid>
      <w:tr>
        <w:trPr>
          <w:trHeight w:val="278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trHeight w:val="278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第一週</w:t>
              <w:br w:type="textWrapping"/>
              <w:t xml:space="preserve">8/30~9/5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N-9-1連比：連比的記錄；連比推 理；連比例式；及其基本運 算與相關應用問題；涉及複 雜數值時使用計算機協助 計算。</w:t>
                </w:r>
              </w:sdtContent>
            </w:sdt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n-IV-4理解比、比例式、正比、反比和連比的意義和推理，並能運用到日常生活的情 境解決問題。</w:t>
                </w:r>
              </w:sdtContent>
            </w:sdt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第一章相似形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單元1-1連比例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1.比與連比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2.比的計算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3.關於比在生活中的概念,如容積比、人口比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環J1:了解生物多樣性及環境承載力的重要性。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閱J1:發展多元文本的閱讀策略。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閱J3:理解學科知識內的重要詞彙的意涵，並懂得如何運用該詞彙與他人進行溝通。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性J14:認識社會中性別、種族與階級的權力結構關係。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第二週</w:t>
              <w:br w:type="textWrapping"/>
              <w:t xml:space="preserve">9/6~9/12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S-9-1相似形：平面圖形縮放的意 義；多邊形相似的意義；對 應角相等；對應邊長成比 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s-IV-12理解直角三角形中某一銳角的角度決定邊長的比值，認識這些比值的符號， 並能運用到日常生活的情境解決問題。</w:t>
                </w:r>
              </w:sdtContent>
            </w:sdt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第一章相似形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單元1-2比例線段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1.面積比與底邊比的關係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2.平行線截比例線段性質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環J1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9/11補9/20(一)課程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九年級複習考(日期未定)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第三週</w:t>
              <w:br w:type="textWrapping"/>
              <w:t xml:space="preserve">9/13~9/19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S-9-3平行線截比例線段：連接 三角形兩邊中點的線段必 平行於第三邊（其長度等於 第三邊的一半）；平行線截 比例線段性質；利用截線段 成比例判定兩直線平行；平 行線截比例線段性質的應 用。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s-IV-6理解平面圖形相似的意義，知道圖形經縮放後其圖形相似，並能應用於解決 幾何與日常生活的問題。</w:t>
                </w:r>
              </w:sdtContent>
            </w:sdt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第一章相似形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單元1-2比例線段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3.三角形兩邊中點連線段性質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4.坐標平面上線段的中點座標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4.教具操作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第四週</w:t>
              <w:br w:type="textWrapping"/>
              <w:t xml:space="preserve">9/20~9/26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S-9-1相似形：平面圖形縮放的意 義；多邊形相似的意義；對 應角相等；對應邊長成比 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s-IV-6理解平面圖形相似的意義，知道圖形經縮放後其圖形相似，並能應用於解決 幾何與日常生活的問題。</w:t>
                </w:r>
              </w:sdtContent>
            </w:sdt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單元1-3縮放與相似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1.線段縮放的概念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2.角的縮放的概念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4.教具操作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9/20、21放假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第五週</w:t>
              <w:br w:type="textWrapping"/>
              <w:t xml:space="preserve">9/27~10/3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S-9-1相似形：平面圖形縮放的意 義；多邊形相似的意義；對 應角相等；對應邊長成比 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s-IV-6理解平面圖形相似的意義，知道圖形經縮放後其圖形相似，並能應用於解決 幾何與日常生活的問題。</w:t>
                </w:r>
              </w:sdtContent>
            </w:sdt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單元1-3縮放與相似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3.三角形的縮放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4.縮放的作圖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4.教具操作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第六週</w:t>
              <w:br w:type="textWrapping"/>
              <w:t xml:space="preserve">10/4~10/10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S-9-2三角形的相似性質：三角 形的相似判定（AA、SAS、 SSS）；對應邊長之比＝對應 高之比；對應面積之比＝對 應邊長平方之比；利用三角 形相似的概念解應用問題； 相似符號（~）。</w:t>
                </w:r>
              </w:sdtContent>
            </w:sdt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s-IV-10理解三角形相似的性質，利用對應角相等或對應邊成比例，判斷兩個三角形 的相似，並能應用於解決幾何與日常生活的問題。</w:t>
                </w:r>
              </w:sdtContent>
            </w:sdt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單元1-4相似三角形的應用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7"/>
                    <w:szCs w:val="27"/>
                    <w:u w:val="none"/>
                    <w:shd w:fill="auto" w:val="clear"/>
                    <w:vertAlign w:val="baseline"/>
                    <w:rtl w:val="0"/>
                  </w:rPr>
                  <w:t xml:space="preserve">1 簡易測量</w:t>
                </w:r>
              </w:sdtContent>
            </w:sdt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7"/>
                    <w:szCs w:val="27"/>
                    <w:u w:val="none"/>
                    <w:shd w:fill="auto" w:val="clear"/>
                    <w:vertAlign w:val="baseline"/>
                    <w:rtl w:val="0"/>
                  </w:rPr>
                  <w:t xml:space="preserve">2相似三角形的面積與邊長關係</w:t>
                </w:r>
              </w:sdtContent>
            </w:sdt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1.測量影子長估算校園中植物的高度。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請同學兩兩一組,在校園中找尋一顆樹,進行測量估算。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4.教具操作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第七週</w:t>
              <w:br w:type="textWrapping"/>
              <w:t xml:space="preserve">10/11~10/17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S-9-2三角形的相似性質：三角 形的相似判定（AA、SAS、 SSS）；對應邊長之比＝對應 高之比；對應面積之比＝對 應邊長平方之比；利用三角 形相似的概念解應用問題； 相似符號（~）。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s-IV-10理解三角形相似的性質，利用對應角相等或對應邊成比例，判斷兩個三角形 的相似，並能應用於解決幾何與日常生活的問題。</w:t>
                </w:r>
              </w:sdtContent>
            </w:sdt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單元1-4相似三角形的應用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7"/>
                    <w:szCs w:val="27"/>
                    <w:u w:val="none"/>
                    <w:shd w:fill="auto" w:val="clear"/>
                    <w:vertAlign w:val="baseline"/>
                    <w:rtl w:val="0"/>
                  </w:rPr>
                  <w:t xml:space="preserve">3 直角三角形的相似關係</w:t>
                </w:r>
              </w:sdtContent>
            </w:sdt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4.教具操作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閱J1閱J3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c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第一次定期評量(暫)</w:t>
                </w:r>
              </w:sdtContent>
            </w:sdt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第八週</w:t>
              <w:br w:type="textWrapping"/>
              <w:t xml:space="preserve">10/18~10/24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S-9-7點、直線與圓的關係：點與 圓的位置關係（內部、圓上、 外部）；直線與圓的位置關 係（不相交、相切、交於兩 點）；圓心與切點的連線垂 直此切線（切線性質）；圓 心到弦的垂直線段（弦心 距）垂直平分此弦。</w:t>
                </w:r>
              </w:sdtContent>
            </w:sdt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2-1點、直線與圓之間的位置關係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1點與圓的位置關係</w:t>
                </w:r>
              </w:sdtContent>
            </w:sdt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活動一</w:t>
                </w:r>
              </w:sdtContent>
            </w:sdt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single"/>
                    <w:shd w:fill="auto" w:val="clear"/>
                    <w:vertAlign w:val="baseline"/>
                    <w:rtl w:val="0"/>
                  </w:rPr>
                  <w:t xml:space="preserve">紙本繪圖&amp;電腦繪圖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作圖,請你跟著指令畫</w:t>
                </w:r>
              </w:sdtContent>
            </w:sdt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老師給予指令請學生圖解點與圓的位置。讓學生熟悉數學用語並能具體操作,如點在圓上ˋ點在圓外、點在圓內、圓心到P點距離…等</w:t>
                </w:r>
              </w:sdtContent>
            </w:sdt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活動二</w:t>
                </w:r>
              </w:sdtContent>
            </w:sdt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探討點與圓的關係</w:t>
                </w:r>
              </w:sdtContent>
            </w:sdt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2直線與圓的位置關係</w:t>
                </w:r>
              </w:sdtContent>
            </w:sdt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活動一</w:t>
                </w:r>
              </w:sdtContent>
            </w:sdt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作圖,請你跟著指令畫</w:t>
                </w:r>
              </w:sdtContent>
            </w:sdt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老師給予指令請學生圖解直線與圓的位置。讓學生熟悉數學用語並能具體操作,如不相交、相交於兩點、相交於一點…等</w:t>
                </w:r>
              </w:sdtContent>
            </w:sdt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活動二</w:t>
                </w:r>
              </w:sdtContent>
            </w:sdt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探討直線與圓的關係</w:t>
                </w:r>
              </w:sdtContent>
            </w:sdt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3.認識切線段與弦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科E1:了解平日常見科技產品的用途與運作方式。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科E2:了解動手實作的重要性。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戶J1:善用教室外、戶外及校外教學，認識臺灣環境並參訪自然及文化資產，如國家公園、國家風景區及國家森林公園等。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戶J2:擴充對環境的理解，運用所學的知識到生活當中，具備觀察、描述、測量、紀錄的能力。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10/20~21八年級隔宿(暫)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第九週</w:t>
              <w:br w:type="textWrapping"/>
              <w:t xml:space="preserve">10/25~10/31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S-9-7點、直線與圓的關係：點與 圓的位置關係（內部、圓上、 外部）；直線與圓的位置關 係（不相交、相切、交於兩 點）；圓心與切點的連線垂 直此切線（切線性質）；圓 心到弦的垂直線段（弦心 距）垂直平分此弦。</w:t>
                </w:r>
              </w:sdtContent>
            </w:sdt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2-1點、直線與圓之間的位置關係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4兩圓的位置關係</w:t>
                </w:r>
              </w:sdtContent>
            </w:sdt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活動一</w:t>
                </w:r>
              </w:sdtContent>
            </w:sdt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作圖,請你跟著指令畫</w:t>
                </w:r>
              </w:sdtContent>
            </w:sdt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老師給予指令請學生圖解兩圓的位置。讓學生熟悉數學用語並能具體操作,如不相交、交於一點、交於兩點…等,從圖形中認識內離、外離、內切、外交等圖形</w:t>
                </w:r>
              </w:sdtContent>
            </w:sdt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活動二</w:t>
                </w:r>
              </w:sdtContent>
            </w:sdt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探討兩圓的關係</w:t>
                </w:r>
              </w:sdtContent>
            </w:sdt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  <w:tab w:val="left" w:pos="4160"/>
              </w:tabs>
              <w:spacing w:after="0" w:before="0" w:line="288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J5 探索性別與生涯規劃的關係。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第十週</w:t>
              <w:br w:type="textWrapping"/>
              <w:t xml:space="preserve">11/1~11/7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S-9-7點、直線與圓的關係：點與 圓的位置關係（內部、圓上、 外部）；直線與圓的位置關 係（不相交、相切、交於兩 點）；圓心與切點的連線垂 直此切線（切線性質）；圓 心到弦的垂直線段（弦心 距）垂直平分此弦。</w:t>
                </w:r>
              </w:sdtContent>
            </w:sdt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2-1點、直線與圓之間的位置關係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5.認識內外公切線並利用圖解認識線段關係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6.利用畢氏定理求出線段長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第十一週</w:t>
              <w:br w:type="textWrapping"/>
              <w:t xml:space="preserve">11/8~11/14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S-9-6圓的幾何性質：圓心角、圓 周角與所對應弧的度數三 者之間的關係；圓內接四邊 形對角互補；切線段等長。</w:t>
                </w:r>
              </w:sdtContent>
            </w:sdt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2-2圓心角、圓周角與弧的關係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1圓心角與弧的度數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(1)認識弧的度數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(2)等弦對等弧的性質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768" w:right="0" w:hanging="768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第十二週</w:t>
              <w:br w:type="textWrapping"/>
              <w:t xml:space="preserve">11/15~11/21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S-9-6圓的幾何性質：圓心角、圓 周角與所對應弧的度數三 者之間的關係；圓內接四邊 形對角互補；切線段等長。</w:t>
                </w:r>
              </w:sdtContent>
            </w:sdt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2-2圓心角、圓周角與弧的關係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2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2 圓周角與弦切角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(1)圓周角與所對弧的關係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2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(2)弦切角與所夾弧的關係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768" w:right="0" w:hanging="768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5.視察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第十三週</w:t>
              <w:br w:type="textWrapping"/>
              <w:t xml:space="preserve">11/22~11/28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S-9-6圓的幾何性質：圓心角、圓 周角與所對應弧的度數三 者之間的關係；圓內接四邊 形對角互補；切線段等長。</w:t>
                </w:r>
              </w:sdtContent>
            </w:sdt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第二章 圓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2-2圓心角、圓周角與弧的關係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3 圓內角與圓外角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(1)定義與圖解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641" w:right="0" w:hanging="6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(2)與弧的關係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5.視察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第十四週</w:t>
              <w:br w:type="textWrapping"/>
              <w:t xml:space="preserve">11/29~12/5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S-9-6圓的幾何性質：圓心角、圓 周角與所對應弧的度數三 者之間的關係；圓內接四邊 形對角互補；切線段等長。</w:t>
                </w:r>
              </w:sdtContent>
            </w:sdt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s-IV-14認識圓的相關概念（如半徑、弦、弧、弓形等）和幾何性質（如圓心角、圓周 角、圓內接四邊形的對角互補等），並理解弧長、圓面積、扇形面積的公式。</w:t>
                </w:r>
              </w:sdtContent>
            </w:sdt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圓的相關概念綜合運用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c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第二次定期評量(暫)</w:t>
                </w:r>
              </w:sdtContent>
            </w:sdt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第十五週</w:t>
              <w:br w:type="textWrapping"/>
              <w:t xml:space="preserve">12/6~12/12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S-9-11證明的意義：幾何推理（須 說明所依據的幾何性質）； 代數推理（須說明所依據的 代數性質）。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s-IV-1理解常用幾何形體的定義、符號、性質，並應用於幾何問題的解題。</w:t>
                </w:r>
              </w:sdtContent>
            </w:sdt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3-1證明與推理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1.理解已知、求證與證明的關聯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1.將理論證明的過程以提示卡切割呈現,引導學生將自己的思路用提示卡排列出,並與同儕討論。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2.思考證明過程中的因為與所以(認識數學符號),若是順序調換是否合理?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戶J1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戶J2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J7 學習蒐集與分析工作/教育環境的資料。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J11 分析影響個人生涯決定的因素。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第十六週</w:t>
              <w:br w:type="textWrapping"/>
              <w:t xml:space="preserve">12/13~12/19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S-9-11證明的意義：幾何推理（須 說明所依據的幾何性質）； 代數推理（須說明所依據的 代數性質）。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s-IV-1理解常用幾何形體的定義、符號、性質，並應用於幾何問題的解題。</w:t>
                </w:r>
              </w:sdtContent>
            </w:sdt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3-1證明與推理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2.練習列出已知條件,並思考與結果的關聯性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3.試著從結論中發現性質再往已知推演,舉證強化彼此關聯性。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4.練習寫出證明過程。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J7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第十七週</w:t>
              <w:br w:type="textWrapping"/>
              <w:t xml:space="preserve">12/20~12/26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S-9-8三角形的外心：外心的意 義與外接圓；三角形的外心三角形的外心：外心的意 義與外接圓；三角形的外心</w:t>
                </w:r>
              </w:sdtContent>
            </w:sdt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s-IV-11理解三角形重心、外心、內心的意義和其相關性質。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3-2三角形的外心、內心與重心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1.外心性質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2.作圖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24 八年級英語歌唱比賽(暫)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第十八週</w:t>
              <w:br w:type="textWrapping"/>
              <w:t xml:space="preserve">12/27~1/2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S-9-8三角形的外心：外心的意 義與外接圓；三角形的外心三角形的外心：外心的意 義與外接圓；三角形的外心</w:t>
                </w:r>
              </w:sdtContent>
            </w:sdt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s-IV-11理解三角形重心、外心、內心的意義和其相關性質。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3-2三角形的外心、內心與重心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3.不同三角形的外心4.外心與外接圓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5.外心的應用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科E2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第十九週</w:t>
              <w:br w:type="textWrapping"/>
              <w:t xml:space="preserve">1/3~1/9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S-9-9三角形的內心：內心的意 義與內切圓；三角形的內心 到三角形的三邊等距；三角 形的面積＝周長×內切圓 半徑÷ 2；直角三角形的內 切圓半徑＝（兩股和－斜 邊）÷ 2。</w:t>
                </w:r>
              </w:sdtContent>
            </w:sdt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s-IV-11理解三角形重心、外心、內心的意義和其相關性質。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3-2三角形的外心、內心與重心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1.角平分線作圖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2.內心性質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3.作圖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4.內切圓與內心的應用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科E4:體會動手實作的樂趣，並養成正向的科技態度。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閱J3:理解學科知識內的重要詞彙的意涵，並懂得如何運用該詞彙與他人進行溝通。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閱J4:除紙本閱讀之外，依學習需求選擇適當的閱讀媒材，並了解如何利用適當的管道獲得文本資源。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七八九藝能科考試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第二十週</w:t>
              <w:br w:type="textWrapping"/>
              <w:t xml:space="preserve">1/10~1/16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S-9-9三角形的內心：內心的意 義與內切圓；三角形的內心 到三角形的三邊等距；三角 形的面積＝周長×內切圓 半徑÷ 2；直角三角形的內 切圓半徑＝（兩股和－斜 邊）÷ 2。</w:t>
                </w:r>
              </w:sdtContent>
            </w:sdt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s-IV-11理解三角形重心、外心、內心的意義和其相關性質。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3-2三角形的外心、內心與重心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3.作圖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4.內切圓與內心的應用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科E4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第二十一週</w:t>
              <w:br w:type="textWrapping"/>
              <w:t xml:space="preserve">1/17~1/21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S-9-10三角形的重心：重心的意 義與中線；三角形的三條中 線將三角形面積六等份；重 心到頂點的距離等於它到 對邊中點的兩倍；重心的物 理意義。</w:t>
                </w:r>
              </w:sdtContent>
            </w:sdt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s-IV-11理解三角形重心、外心、內心的意義和其相關性質。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第三章 幾何與證明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3-2三角形的外心、內心與重心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1.重心性質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2.重心的應用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教學資源光碟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4.作業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科E1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科E4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閱J1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閱J2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閱J3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閱J4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c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第三次定期評量</w:t>
                </w:r>
              </w:sdtContent>
            </w:sdt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六、法律規定教育議題實施規劃</w:t>
      </w:r>
      <w:r w:rsidDel="00000000" w:rsidR="00000000" w:rsidRPr="00000000">
        <w:rPr>
          <w:rtl w:val="0"/>
        </w:rPr>
      </w:r>
    </w:p>
    <w:tbl>
      <w:tblPr>
        <w:tblStyle w:val="Table3"/>
        <w:tblW w:w="13948.0" w:type="dxa"/>
        <w:jc w:val="center"/>
        <w:tblLayout w:type="fixed"/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  <w:tblGridChange w:id="0">
          <w:tblGrid>
            <w:gridCol w:w="705"/>
            <w:gridCol w:w="3438"/>
            <w:gridCol w:w="845"/>
            <w:gridCol w:w="2379"/>
            <w:gridCol w:w="1178"/>
            <w:gridCol w:w="1263"/>
            <w:gridCol w:w="414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相關規定說明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性別平等教育課程或活動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性別平等教育法第17條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兒童及少年性剝削防制條例第4條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治教育課程或教育宣導(建議融入)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性侵害防治教育課程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性侵害犯罪防治法第7條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環境教育課程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環境教育法第19條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(含海洋教育1小時，環境倫理、永續發展、氣候變遷、災害防救、能源資源永續利用3小時)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家庭教育法第12條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家庭暴力防治課程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家庭暴力防治法第60條)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全民國防教育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全民國防教育法第7條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生涯發展教育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圓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J5 探索性別與生涯規劃的關係。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幾何與證明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J7 學習蒐集與分析工作/教育環境的資料。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涯 J11 分析影響個人生涯決定的因素。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  <w:font w:name="Gungsuh"/>
  <w:font w:name="PMingLiu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992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zh-TW" w:val="en-US"/>
    </w:rPr>
  </w:style>
  <w:style w:type="paragraph" w:styleId="標題2">
    <w:name w:val="標題 2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1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zh-TW" w:val="en-US"/>
    </w:rPr>
  </w:style>
  <w:style w:type="paragraph" w:styleId="標題3">
    <w:name w:val="標題 3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2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TW" w:val="en-US"/>
    </w:rPr>
  </w:style>
  <w:style w:type="paragraph" w:styleId="標題4">
    <w:name w:val="標題 4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3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標題5">
    <w:name w:val="標題 5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4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TW" w:val="en-US"/>
    </w:rPr>
  </w:style>
  <w:style w:type="paragraph" w:styleId="標題6">
    <w:name w:val="標題 6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5"/>
    </w:pPr>
    <w:rPr>
      <w:b w:val="1"/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標題">
    <w:name w:val="標題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zh-TW" w:val="en-US"/>
    </w:rPr>
  </w:style>
  <w:style w:type="paragraph" w:styleId="副標題">
    <w:name w:val="副標題"/>
    <w:basedOn w:val="內文"/>
    <w:next w:val="內文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="23" w:firstLineChars="-1"/>
      <w:contextualSpacing w:val="1"/>
      <w:jc w:val="both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TW" w:val="en-US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0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3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4"/>
      <w:tblStyleRowBandSize w:val="1"/>
      <w:tblStyleColBandSize w:val="1"/>
      <w:jc w:val="left"/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5"/>
      <w:tblStyleRowBandSize w:val="1"/>
      <w:tblStyleColBandSize w:val="1"/>
      <w:jc w:val="left"/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6"/>
      <w:tblStyleRowBandSize w:val="1"/>
      <w:tblStyleColBandSize w:val="1"/>
      <w:jc w:val="left"/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7"/>
      <w:tblStyleRowBandSize w:val="1"/>
      <w:tblStyleColBandSize w:val="1"/>
      <w:jc w:val="left"/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8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9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0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2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4"/>
      <w:tblStyleRowBandSize w:val="1"/>
      <w:tblStyleColBandSize w:val="1"/>
      <w:jc w:val="left"/>
    </w:tblPr>
  </w:style>
  <w:style w:type="table" w:styleId="15">
    <w:name w:val=""/>
    <w:basedOn w:val="TableNormal"/>
    <w:next w:val="15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5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6">
    <w:name w:val=""/>
    <w:basedOn w:val="TableNormal"/>
    <w:next w:val="16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6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7">
    <w:name w:val=""/>
    <w:basedOn w:val="TableNormal"/>
    <w:next w:val="17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7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8">
    <w:name w:val=""/>
    <w:basedOn w:val="TableNormal"/>
    <w:next w:val="18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8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table" w:styleId="19">
    <w:name w:val=""/>
    <w:basedOn w:val="TableNormal"/>
    <w:next w:val="19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19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20">
    <w:name w:val=""/>
    <w:basedOn w:val="TableNormal"/>
    <w:next w:val="20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0"/>
      <w:tblStyleRowBandSize w:val="1"/>
      <w:tblStyleColBandSize w:val="1"/>
      <w:jc w:val="left"/>
    </w:tblPr>
  </w:style>
  <w:style w:type="table" w:styleId="21">
    <w:name w:val=""/>
    <w:basedOn w:val="TableNormal"/>
    <w:next w:val="21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1"/>
      <w:tblStyleRowBandSize w:val="1"/>
      <w:tblStyleColBandSize w:val="1"/>
      <w:jc w:val="left"/>
    </w:tblPr>
  </w:style>
  <w:style w:type="table" w:styleId="22">
    <w:name w:val=""/>
    <w:basedOn w:val="TableNormal"/>
    <w:next w:val="22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2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3">
    <w:name w:val=""/>
    <w:basedOn w:val="TableNormal"/>
    <w:next w:val="23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3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4">
    <w:name w:val=""/>
    <w:basedOn w:val="TableNormal"/>
    <w:next w:val="24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4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5">
    <w:name w:val=""/>
    <w:basedOn w:val="TableNormal"/>
    <w:next w:val="25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25"/>
      <w:tblStyleRowBandSize w:val="1"/>
      <w:tblStyleColBandSize w:val="1"/>
      <w:jc w:val="left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  <w:tblPr>
      <w:tblStyle w:val=""/>
      <w:tblStyleRowBandSize w:val="1"/>
      <w:tblStyleColBandSize w:val="1"/>
      <w:jc w:val="left"/>
      <w:tblCellMar>
        <w:left w:w="28.0" w:type="dxa"/>
        <w:right w:w="28.0" w:type="dxa"/>
      </w:tblCellMar>
    </w:tbl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suppressAutoHyphens w:val="1"/>
      <w:spacing w:line="1" w:lineRule="atLeast"/>
      <w:ind w:left="480" w:leftChars="200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character" w:styleId="apple-converted-space">
    <w:name w:val="apple-converted-space"/>
    <w:basedOn w:val="預設段落字型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1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rFonts w:ascii="Calibri Light" w:cs="Times New Roman" w:eastAsia="新細明體" w:hAnsi="Calibri Ligh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libri Light" w:cs="Times New Roman" w:eastAsia="新細明體" w:hAnsi="Calibri Ligh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1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basedOn w:val="預設段落字型"/>
    <w:next w:val="頁首字元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basedOn w:val="預設段落字型"/>
    <w:next w:val="頁尾字元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無間距">
    <w:name w:val="無間距"/>
    <w:next w:val="無間距"/>
    <w:autoRedefine w:val="0"/>
    <w:hidden w:val="0"/>
    <w:qFormat w:val="0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TW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rFonts w:ascii="標楷體" w:cs="標楷體" w:hAnsi="標楷體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內文(Web)">
    <w:name w:val="內文 (Web)"/>
    <w:basedOn w:val="內文"/>
    <w:next w:val="內文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新細明體" w:cs="新細明體" w:eastAsia="新細明體" w:hAnsi="新細明體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4.【教學目標】內文字（1.2.3.）">
    <w:name w:val="4.【教學目標】內文字（1.2.3.）"/>
    <w:basedOn w:val="純文字"/>
    <w:next w:val="4.【教學目標】內文字（1.2.3.）"/>
    <w:autoRedefine w:val="0"/>
    <w:hidden w:val="0"/>
    <w:qFormat w:val="0"/>
    <w:pPr>
      <w:widowControl w:val="0"/>
      <w:tabs>
        <w:tab w:val="left" w:leader="none" w:pos="142"/>
      </w:tabs>
      <w:suppressAutoHyphens w:val="1"/>
      <w:spacing w:line="220" w:lineRule="atLeast"/>
      <w:ind w:left="227" w:right="57" w:leftChars="-1" w:rightChars="0" w:hanging="170" w:firstLineChars="-1"/>
      <w:jc w:val="both"/>
      <w:textDirection w:val="btLr"/>
      <w:textAlignment w:val="top"/>
      <w:outlineLvl w:val="0"/>
    </w:pPr>
    <w:rPr>
      <w:rFonts w:ascii="新細明體" w:cs="Times New Roman" w:eastAsia="新細明體" w:hAnsi="Courier New"/>
      <w:color w:val="auto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純文字">
    <w:name w:val="純文字"/>
    <w:basedOn w:val="內文"/>
    <w:next w:val="純文字"/>
    <w:autoRedefine w:val="0"/>
    <w:hidden w:val="0"/>
    <w:qFormat w:val="1"/>
    <w:pPr>
      <w:suppressAutoHyphens w:val="1"/>
      <w:spacing w:line="1" w:lineRule="atLeast"/>
      <w:ind w:leftChars="-1" w:rightChars="0" w:firstLine="23" w:firstLineChars="-1"/>
      <w:jc w:val="both"/>
      <w:textDirection w:val="btLr"/>
      <w:textAlignment w:val="top"/>
      <w:outlineLvl w:val="0"/>
    </w:pPr>
    <w:rPr>
      <w:rFonts w:ascii="細明體" w:cs="Courier New" w:eastAsia="細明體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純文字字元">
    <w:name w:val="純文字 字元"/>
    <w:next w:val="純文字字元"/>
    <w:autoRedefine w:val="0"/>
    <w:hidden w:val="0"/>
    <w:qFormat w:val="0"/>
    <w:rPr>
      <w:rFonts w:ascii="細明體" w:cs="Courier New" w:eastAsia="細明體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樣式1">
    <w:name w:val="樣式1"/>
    <w:basedOn w:val="內文"/>
    <w:next w:val="樣式1"/>
    <w:autoRedefine w:val="0"/>
    <w:hidden w:val="0"/>
    <w:qFormat w:val="0"/>
    <w:pPr>
      <w:widowControl w:val="0"/>
      <w:suppressAutoHyphens w:val="1"/>
      <w:spacing w:line="220" w:lineRule="atLeast"/>
      <w:ind w:left="57" w:right="57" w:leftChars="-1" w:rightChars="0" w:firstLine="0" w:firstLineChars="-1"/>
      <w:jc w:val="left"/>
      <w:textDirection w:val="btLr"/>
      <w:textAlignment w:val="top"/>
      <w:outlineLvl w:val="0"/>
    </w:pPr>
    <w:rPr>
      <w:rFonts w:ascii="新細明體" w:hAnsi="新細明體"/>
      <w:color w:val="auto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pTgg59/KaC9i4ic/L2Ve3rm0jw==">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2021-06-19T07:41:00Z</dcterms:created>
  <dc:creator>康軒文教事業;leard</dc:creator>
</cp:coreProperties>
</file>