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新北市</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溪崑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國民中學</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110</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學年度</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二</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年級第</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一</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學期</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部定</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課程計畫  設計者：</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＿周淑貞＿＿＿＿</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4320"/>
        </w:tabs>
        <w:spacing w:after="0" w:before="0" w:line="360" w:lineRule="auto"/>
        <w:ind w:left="0" w:right="0" w:firstLine="23"/>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一、課程類別：</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ab/>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1.□國語文   2.□英語文   3.□健康與體育   4.</w:t>
      </w:r>
      <w:r w:rsidDel="00000000" w:rsidR="00000000" w:rsidRPr="00000000">
        <w:rPr>
          <w:rFonts w:ascii="DFKai-SB" w:cs="DFKai-SB" w:eastAsia="DFKai-SB" w:hAnsi="DFKai-SB"/>
          <w:b w:val="0"/>
          <w:i w:val="0"/>
          <w:smallCaps w:val="0"/>
          <w:strike w:val="0"/>
          <w:color w:val="ffffff"/>
          <w:sz w:val="24"/>
          <w:szCs w:val="24"/>
          <w:highlight w:val="black"/>
          <w:u w:val="none"/>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數學   5.□社會   6.□藝術  7.□自然科學 8.□科技  9.□綜合活動</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3"/>
        <w:jc w:val="both"/>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二、學習節數：每週(4)節，實施(21)週，共(84)節。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8980"/>
        </w:tabs>
        <w:spacing w:after="0" w:before="0" w:line="36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三、課程內涵：</w:t>
        <w:tab/>
      </w:r>
    </w:p>
    <w:tbl>
      <w:tblPr>
        <w:tblStyle w:val="Table1"/>
        <w:tblW w:w="1454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11"/>
        <w:gridCol w:w="11430"/>
        <w:tblGridChange w:id="0">
          <w:tblGrid>
            <w:gridCol w:w="3111"/>
            <w:gridCol w:w="11430"/>
          </w:tblGrid>
        </w:tblGridChange>
      </w:tblGrid>
      <w:tr>
        <w:trPr>
          <w:trHeight w:val="844" w:hRule="atLeast"/>
        </w:trPr>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總綱核心素養</w:t>
            </w:r>
          </w:p>
        </w:tc>
        <w:tc>
          <w:tcPr>
            <w:tcBorders>
              <w:top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學習領域核心素養</w:t>
            </w:r>
          </w:p>
        </w:tc>
      </w:tr>
      <w:tr>
        <w:trPr>
          <w:trHeight w:val="397"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A1身心素質與自我精進</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A2系統思考與解決問題</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A3規劃執行與創新應變</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B1符號運用與溝通表達</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B2科技資訊與媒體素養</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B3藝術涵養與美感素養</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C1道德實踐與公民意識</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C2人際關係與團隊合作</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color w:val="ffffff"/>
                <w:sz w:val="24"/>
                <w:szCs w:val="24"/>
                <w:highlight w:val="black"/>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C3多元文化與國際理解</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數-J-A1:對於學習數學有信心和正向態度，能使用適當的數學語言進行溝通，並能將所學應用於日常生活中。</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數-J-A2:具備有理數、根式、坐標系之運作能力，並能以符號代表數或幾何物件，執行運算與推論，在生活情境或可理解的想像情境中，分析本質以解決問題。</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數-J-A3:具備識別現實生活問題和數學關聯的能力，可從多元、彈性角度擬定問題解決計畫，並能將問題解答轉化於真實世界。</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數-J-B1:具備處理代數與幾何中數學關係的能力，並用以描述情境中的現象。能在經驗範圍內，以數學語言表述平面與空間的基本關係和性質。能以基本的統計量與機率，描述生活中不確定性的程度。</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數-J-B2:具備正確使用計算機以增進學習的素養，包含知道其適用性與限制、認識其與數學知識的輔成價值 並能用以執行數學程序。能認識統計資料的基本特徵。</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數-J-B3:具備辨認藝術作品中的幾何形體或數量關係的素養 並能在數學的推導中，享受數學之美。</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數-J-C2:樂於與他人良好互動與溝通以解決問題，並欣賞問題的多元解法。</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數-J-C3:具備敏察和接納數學發展的全球性歷史與地理背景的素養。</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數-J-C1:具備從證據討論與反思事情的態度，提出合理的論述，並能和他人進行理性溝通與合作。</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3"/>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四、課程架構：</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Pr>
        <w:drawing>
          <wp:inline distB="0" distT="0" distL="114300" distR="114300">
            <wp:extent cx="5487035" cy="273685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7035" cy="273685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五、素養導向教學規劃：</w:t>
      </w:r>
    </w:p>
    <w:tbl>
      <w:tblPr>
        <w:tblStyle w:val="Table2"/>
        <w:tblW w:w="1507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388"/>
        <w:gridCol w:w="2197"/>
        <w:gridCol w:w="2198"/>
        <w:gridCol w:w="2268"/>
        <w:gridCol w:w="567"/>
        <w:gridCol w:w="1701"/>
        <w:gridCol w:w="1417"/>
        <w:gridCol w:w="1559"/>
        <w:gridCol w:w="1784"/>
        <w:tblGridChange w:id="0">
          <w:tblGrid>
            <w:gridCol w:w="1388"/>
            <w:gridCol w:w="2197"/>
            <w:gridCol w:w="2198"/>
            <w:gridCol w:w="2268"/>
            <w:gridCol w:w="567"/>
            <w:gridCol w:w="1701"/>
            <w:gridCol w:w="1417"/>
            <w:gridCol w:w="1559"/>
            <w:gridCol w:w="1784"/>
          </w:tblGrid>
        </w:tblGridChange>
      </w:tblGrid>
      <w:tr>
        <w:trPr>
          <w:trHeight w:val="278" w:hRule="atLeast"/>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教學期程</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學習重點</w:t>
            </w:r>
          </w:p>
        </w:tc>
        <w:tc>
          <w:tcPr>
            <w:vMerge w:val="restart"/>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單元/主題名稱與活動內容</w:t>
            </w:r>
          </w:p>
        </w:tc>
        <w:tc>
          <w:tcPr>
            <w:vMerge w:val="restart"/>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節數</w:t>
            </w:r>
          </w:p>
        </w:tc>
        <w:tc>
          <w:tcPr>
            <w:vMerge w:val="restart"/>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教學資源/學習策略</w:t>
            </w:r>
          </w:p>
        </w:tc>
        <w:tc>
          <w:tcPr>
            <w:vMerge w:val="restart"/>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評量方式</w:t>
            </w:r>
          </w:p>
        </w:tc>
        <w:tc>
          <w:tcPr>
            <w:vMerge w:val="restart"/>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融入議題</w:t>
            </w:r>
          </w:p>
        </w:tc>
        <w:tc>
          <w:tcPr>
            <w:vMerge w:val="restart"/>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trHeight w:val="278" w:hRule="atLeast"/>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學習內容</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學習表現</w:t>
            </w:r>
          </w:p>
        </w:tc>
        <w:tc>
          <w:tcPr>
            <w:vMerge w:val="continue"/>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第一週</w:t>
              <w:br w:type="textWrapping"/>
              <w:t xml:space="preserve">8/30~9/5</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A-8-1:二次式的乘法公式：(</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c</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d</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ac</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ad</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bc</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bd</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a-Ⅳ-5:認識多項式及相關名詞，並熟練多項式的四則運算及運用乘法公式。</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單元1-1乘法公式</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1.了解乘法分配律對負數與減法也適用。</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2.透過面積組合，了解和的平方公式(</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3.能利用和的平方公式，進行數字運算。(包含整數、分數與小數)</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4.透過面積組合，了解差的平方公式(</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活動一:</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1.教具操作,利用未知數表示邊長及面積。</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2.操作不同的面積組合練習分配律概念。如</w:t>
            </w:r>
            <w:sdt>
              <w:sdtPr>
                <w:tag w:val="goog_rdk_0"/>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長是</w:t>
                </w:r>
              </w:sdtContent>
            </w:sdt>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sdt>
              <w:sdtPr>
                <w:tag w:val="goog_rdk_1"/>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、寬是(</w:t>
                </w:r>
              </w:sdtContent>
            </w:sdt>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sdt>
              <w:sdtPr>
                <w:tag w:val="goog_rdk_2"/>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w:t>
            </w:r>
            <w:sdt>
              <w:sdtPr>
                <w:tag w:val="goog_rdk_3"/>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)，面積表示成</w:t>
                </w:r>
              </w:sdtContent>
            </w:sdt>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sdt>
              <w:sdtPr>
                <w:tag w:val="goog_rdk_4"/>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經由長方形面積，了解乘法分配律,如</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sdt>
              <w:sdtPr>
                <w:tag w:val="goog_rdk_5"/>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w:t>
            </w:r>
            <w:sdt>
              <w:sdtPr>
                <w:tag w:val="goog_rdk_6"/>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)=ab－ac</w:t>
                </w:r>
              </w:sdtContent>
            </w:sdt>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閱J1:發展多元文本的閱讀策略。</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閱J3:理解學科知識內的重要詞彙的意涵，並懂得如何運用該詞彙與他人進行溝通。</w:t>
            </w:r>
          </w:p>
          <w:p w:rsidR="00000000" w:rsidDel="00000000" w:rsidP="00000000" w:rsidRDefault="00000000" w:rsidRPr="00000000" w14:paraId="00000047">
            <w:pPr>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【生涯規劃教育】</w:t>
            </w:r>
          </w:p>
          <w:p w:rsidR="00000000" w:rsidDel="00000000" w:rsidP="00000000" w:rsidRDefault="00000000" w:rsidRPr="00000000" w14:paraId="00000048">
            <w:pPr>
              <w:jc w:val="both"/>
              <w:rPr>
                <w:rFonts w:ascii="DFKai-SB" w:cs="DFKai-SB" w:eastAsia="DFKai-SB" w:hAnsi="DFKai-SB"/>
              </w:rPr>
            </w:pPr>
            <w:r w:rsidDel="00000000" w:rsidR="00000000" w:rsidRPr="00000000">
              <w:rPr>
                <w:rFonts w:ascii="DFKai-SB" w:cs="DFKai-SB" w:eastAsia="DFKai-SB" w:hAnsi="DFKai-SB"/>
                <w:rtl w:val="0"/>
              </w:rPr>
              <w:t xml:space="preserve">涯 J7 學習蒐集與分析工作/教育環境的資料。</w:t>
            </w:r>
          </w:p>
          <w:p w:rsidR="00000000" w:rsidDel="00000000" w:rsidP="00000000" w:rsidRDefault="00000000" w:rsidRPr="00000000" w14:paraId="00000049">
            <w:pPr>
              <w:ind w:firstLine="23"/>
              <w:jc w:val="both"/>
              <w:rPr>
                <w:rFonts w:ascii="DFKai-SB" w:cs="DFKai-SB" w:eastAsia="DFKai-SB" w:hAnsi="DFKai-SB"/>
                <w:sz w:val="24"/>
                <w:szCs w:val="24"/>
              </w:rPr>
            </w:pPr>
            <w:r w:rsidDel="00000000" w:rsidR="00000000" w:rsidRPr="00000000">
              <w:rPr>
                <w:rFonts w:ascii="DFKai-SB" w:cs="DFKai-SB" w:eastAsia="DFKai-SB" w:hAnsi="DFKai-SB"/>
                <w:rtl w:val="0"/>
              </w:rPr>
              <w:t xml:space="preserve">涯 J11 分析影響個人生涯決定的因素。</w:t>
            </w:r>
            <w:r w:rsidDel="00000000" w:rsidR="00000000" w:rsidRPr="00000000">
              <w:rPr>
                <w:rtl w:val="0"/>
              </w:rPr>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第二週</w:t>
              <w:br w:type="textWrapping"/>
              <w:t xml:space="preserve">9/6~9/12</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A-8-1:二次式的乘法公式</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a-Ⅳ-5:認識多項式及相關名詞，並熟練多項式的四則運算及運用乘法公式。</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1-1乘法公式</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1.能利用差的平方公式，進行數字運算。</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2.透過面積組合，了解平方差公式(</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3.能利用平方差公式，進行數字運算。(包含整數、分數與小數)</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4.能利用乘法公式解應用問題。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w:t>
            </w:r>
          </w:p>
          <w:p w:rsidR="00000000" w:rsidDel="00000000" w:rsidP="00000000" w:rsidRDefault="00000000" w:rsidRPr="00000000" w14:paraId="0000005C">
            <w:pPr>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【生涯規劃教育】</w:t>
            </w:r>
          </w:p>
          <w:p w:rsidR="00000000" w:rsidDel="00000000" w:rsidP="00000000" w:rsidRDefault="00000000" w:rsidRPr="00000000" w14:paraId="0000005D">
            <w:pPr>
              <w:jc w:val="both"/>
              <w:rPr>
                <w:rFonts w:ascii="DFKai-SB" w:cs="DFKai-SB" w:eastAsia="DFKai-SB" w:hAnsi="DFKai-SB"/>
              </w:rPr>
            </w:pPr>
            <w:r w:rsidDel="00000000" w:rsidR="00000000" w:rsidRPr="00000000">
              <w:rPr>
                <w:rFonts w:ascii="DFKai-SB" w:cs="DFKai-SB" w:eastAsia="DFKai-SB" w:hAnsi="DFKai-SB"/>
                <w:rtl w:val="0"/>
              </w:rPr>
              <w:t xml:space="preserve">涯 J7 學習蒐集與分析工作/教育環境的資料。</w:t>
            </w:r>
          </w:p>
          <w:p w:rsidR="00000000" w:rsidDel="00000000" w:rsidP="00000000" w:rsidRDefault="00000000" w:rsidRPr="00000000" w14:paraId="0000005E">
            <w:pPr>
              <w:ind w:firstLine="23"/>
              <w:jc w:val="both"/>
              <w:rPr>
                <w:rFonts w:ascii="DFKai-SB" w:cs="DFKai-SB" w:eastAsia="DFKai-SB" w:hAnsi="DFKai-SB"/>
                <w:sz w:val="24"/>
                <w:szCs w:val="24"/>
              </w:rPr>
            </w:pPr>
            <w:r w:rsidDel="00000000" w:rsidR="00000000" w:rsidRPr="00000000">
              <w:rPr>
                <w:rFonts w:ascii="DFKai-SB" w:cs="DFKai-SB" w:eastAsia="DFKai-SB" w:hAnsi="DFKai-SB"/>
                <w:rtl w:val="0"/>
              </w:rPr>
              <w:t xml:space="preserve">涯 J11 分析影響個人生涯決定的因素。</w:t>
            </w:r>
            <w:r w:rsidDel="00000000" w:rsidR="00000000" w:rsidRPr="00000000">
              <w:rPr>
                <w:rtl w:val="0"/>
              </w:rPr>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9/11補9/20(一)課程</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九年級複習考(日期未定)</w:t>
            </w: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第三週</w:t>
              <w:br w:type="textWrapping"/>
              <w:t xml:space="preserve">9/13~9/19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A-8-2:認識多項式的定義及相關命名。</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a-Ⅳ-5:認識多項式及相關名詞(項數、係數、常數項、一次項、二次項、最高次項)。</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單元1-2多項式及加減運算</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1.明瞭多項式的項、次數、係數、常數項等名詞的意義。</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活動一:多項式認一認</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1.WHO:誰是誰?</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2.HOW:怎麼寫?</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3.報讀多項式各項的係數與次數。 </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4.教具操作</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第四週</w:t>
              <w:br w:type="textWrapping"/>
              <w:t xml:space="preserve">9/20~9/26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A-8-2:認識多項式的定義及相關命名。</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a-Ⅳ-5:認識多項式的排序方式:升冪、降冪。</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1-2多項式與其加減運算</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多項式排隊</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1.升冪</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2.降冪</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3.能將多項式按照降冪或升冪排列。</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4.教具操作</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9/20、21放假</w:t>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第五週</w:t>
              <w:br w:type="textWrapping"/>
              <w:t xml:space="preserve">9/27~10/3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A-8-3:多項式的加減。直式、橫式的多項式加法與減法。</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a-Ⅳ-5:熟練多項式的加、減運算。</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1-2多項式與其加減運算</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1.知道何謂同類項。2.明瞭同類項相加減時，就是係數相加減；而不同類項不能相加減。</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活動一:判別同類項</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複習負數加減概念</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4.教具操作</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第六週</w:t>
              <w:br w:type="textWrapping"/>
              <w:t xml:space="preserve">10/4~10/10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A-8-3:多項式的加減。直式、橫式的多項式加法與減法。</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a-Ⅳ-5:熟練多項式的加、減運算。</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1-2多項式與其加減運算</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 能以直式列出多項式的加減。</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4.知道直式計算方式,進行多項式加減運算。</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4.能以橫式計算多項式的加減。</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4.教具操作</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第七週</w:t>
              <w:br w:type="textWrapping"/>
              <w:t xml:space="preserve">10/11~10/17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A-8-3:多項式的加減。直式、橫式的多項式加法與減法。</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a-Ⅳ-5:熟練多項式的加、減運算。</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1-3多項式的乘法運算</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1.利用分配律概念,能以橫式計算多項式的乘法。</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 知道直式計算方式,進行多項式乘法運算。</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3.能以直式計算多項式的乘法。</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4.教具操作</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c00000"/>
                <w:sz w:val="24"/>
                <w:szCs w:val="24"/>
                <w:u w:val="none"/>
                <w:shd w:fill="auto" w:val="clear"/>
                <w:vertAlign w:val="baseline"/>
              </w:rPr>
            </w:pPr>
            <w:sdt>
              <w:sdtPr>
                <w:tag w:val="goog_rdk_7"/>
              </w:sdtPr>
              <w:sdtContent>
                <w:r w:rsidDel="00000000" w:rsidR="00000000" w:rsidRPr="00000000">
                  <w:rPr>
                    <w:rFonts w:ascii="Gungsuh" w:cs="Gungsuh" w:eastAsia="Gungsuh" w:hAnsi="Gungsuh"/>
                    <w:b w:val="0"/>
                    <w:i w:val="0"/>
                    <w:smallCaps w:val="0"/>
                    <w:strike w:val="0"/>
                    <w:color w:val="c00000"/>
                    <w:sz w:val="24"/>
                    <w:szCs w:val="24"/>
                    <w:u w:val="none"/>
                    <w:shd w:fill="auto" w:val="clear"/>
                    <w:vertAlign w:val="baseline"/>
                    <w:rtl w:val="0"/>
                  </w:rPr>
                  <w:t xml:space="preserve">第一次定期評量(暫)</w:t>
                </w:r>
              </w:sdtContent>
            </w:sdt>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第八週</w:t>
              <w:br w:type="textWrapping"/>
              <w:t xml:space="preserve">10/18~10/24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N-8-1:認識二次方根：符號表示。</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n-Ⅳ-5:理解二次方根的意義、符號並能在日常生活發現。</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2-1平方根與近似值</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1.能用「」表示面積為2的正方形邊長。</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2.能知道若一個正方形面積為</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，則它的邊長為「」，滿足()</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sdt>
              <w:sdtPr>
                <w:tag w:val="goog_rdk_8"/>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的值</w:t>
                </w:r>
              </w:sdtContent>
            </w:sdt>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認識1~400的完全平方數</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4.利用標準分解式求值(小數與分數的轉換概念)</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活動一</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1.正方形面積我來算</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利用不同面積的正方形,反推其邊長的表示法。</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2.平方與平方根的概念理解與區辨</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科E1:了解平日常見科技產品的用途與運作方式。</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科E2:了解動手實作的重要性。</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戶J2:擴充對環境的理解，運用所學的知識到生活當中，具備觀察、描述、測量、紀錄的能力。</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c00000"/>
                <w:sz w:val="24"/>
                <w:szCs w:val="24"/>
                <w:u w:val="none"/>
                <w:shd w:fill="auto" w:val="clear"/>
                <w:vertAlign w:val="baseline"/>
                <w:rtl w:val="0"/>
              </w:rPr>
              <w:t xml:space="preserve">10/20~21八年級隔宿(暫)</w:t>
            </w: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第九週</w:t>
              <w:br w:type="textWrapping"/>
              <w:t xml:space="preserve">10/25~10/31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N-8-2:認識二次方根的近似值；使用計算機√ 鍵。</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n-Ⅳ-6:能認識計算機上按鍵；能應用計算機計算。</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2-1平方根與近似值</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1.能使用計算機操作「」得到數值的解。</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2.能說出「」與其解的關係。</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3.能操作「」*「」,得到解。4.能說出「」*「」與其解的關係。</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5.能找到「」與「」的關係,並運用計算機得出其解。</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6.能說出「」與「」*「」的關係。</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科E1:了解平日常見科技產品的用途與運作方式。</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科E2:了解動手實作的重要性。</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戶J2:擴充對環境的理解，運用所學的知識到生活當中，具備觀察、描述、測量、紀錄的能力。</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第十週</w:t>
              <w:br w:type="textWrapping"/>
              <w:t xml:space="preserve">11/1~11/7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N-8-1:二次方根：二次方根的意義；根式的化簡及四則運算。</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n-Ⅳ-5:理解二次方根的意義、符號與根式的四則運算，並能運用到日常生活的情境解決問題。</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n-Ⅳ-9:使用計算機計算比值、複雜的數式、小數或根式等四則運算與三角比的近似值問題，並能理解計算機可能產生誤差。</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2-2根式的運算</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1.知道根式運算的性質。</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2.利用符號運算概念理解根式運算</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3.根式乘除運算練習</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4.化為最簡根式,能判別質因數的次數,並將質因數大於1的數取出</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科E2</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第十一週</w:t>
              <w:br w:type="textWrapping"/>
              <w:t xml:space="preserve">11/8~11/14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S-8-6:畢氏定理：畢氏定理（勾股弦定理、商高定理）的意義及其數學史；畢氏定理在生活上的應用；三邊長滿足畢氏定理的三角形必定是直角三角形。</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s-Ⅳ-7:理解畢氏定理與其逆敘述，並能應用於數學解題與日常生活的問題。</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2-3畢氏定理</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1.知道有關直角三角形上的一些名詞，例如斜邊、股。</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2.能由拼圖及面積的計算導出畢氏定理。</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3.了解畢氏定理的意義。</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4.由實例知道，已知直角三角形的兩邊長，能應用畢氏定理，計算第三邊長。</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科E2</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戶J2:擴充對環境的理解，運用所學的知識到生活當中，具備觀察、描述、測量、紀錄的能力。</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第十二週</w:t>
              <w:br w:type="textWrapping"/>
              <w:t xml:space="preserve">11/15~11/21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S-8-6:畢氏定理：畢氏定理（勾股弦定理、商高定理）的意義及其數學史；畢氏定理在生活上的應用；三邊長滿足畢氏定理的三角形必定是直角三角形。</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s-Ⅳ-7:理解畢氏定理與其逆敘述，並能應用於數學解題與日常生活的問題。</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2-3畢氏定理</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1.知道有關直角三角形上的一些名詞，例如斜邊、股。</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2.能由拼圖及面積的計算導出畢氏定理。</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3.了解畢氏定理的意義。</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4.由實例知道，已知直角三角形的兩邊長，能應用畢氏定理，計算第三邊長。</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5.視察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科E2</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第十三週</w:t>
              <w:br w:type="textWrapping"/>
              <w:t xml:space="preserve">11/22~11/28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S-8-6:畢氏定理：畢氏定理（勾股弦定理、商高定理）的意義及其數學史；畢氏定理在生活上的應用；三邊長滿足畢氏定理的三角形必定是直角三角形。</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s-Ⅳ-7:理解畢氏定理與其逆敘述，並能應用於數學解題與日常生活的問題。</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2-3畢氏定理</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1.能應用畢氏定理解決日常生活中簡易的問題。</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5.視察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科E2</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第十四週</w:t>
              <w:br w:type="textWrapping"/>
              <w:t xml:space="preserve">11/29~12/5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A-8-4:因式分解：因式的意義（限制在二次多項式的一次因式）；二次多項式的因式分解意義。</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A-8-5:因式分解的方法：提公因式法；利用乘法公式與十字交乘法因式分解。</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a-Ⅳ-6:理解一元二次方程式及其解的意義，能以因式分解和配方法求解和驗算，並能運用到日常生活的情境解決問題。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1-3多項式的除法</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 知道直式計算方式,進行多項式乘法運算。</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2.能以直式計算多項式的乘法。</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3-1利用提公因式或乘法公式做因式分解</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1.用整除的觀念介紹多項式的因式與倍式；反之，可以用除法來判別是否為因式或倍式。</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2.說明多項式的因式分解和乘積展開的關係。</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3.用除法判別某式是否為因式，並利用除法求出其他的因式。</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4.了解何謂兩多項式的公因式。</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5.用乘法分配律的概念說明如何提出公因式。</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6.會用提出公因式進行多項式的因式分解。</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戶J2:擴充對環境的理解，運用所學的知識到生活當中，具備觀察、描述、測量、紀錄的能力。</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c00000"/>
                <w:sz w:val="24"/>
                <w:szCs w:val="24"/>
                <w:u w:val="none"/>
                <w:shd w:fill="auto" w:val="clear"/>
                <w:vertAlign w:val="baseline"/>
              </w:rPr>
            </w:pPr>
            <w:sdt>
              <w:sdtPr>
                <w:tag w:val="goog_rdk_9"/>
              </w:sdtPr>
              <w:sdtContent>
                <w:r w:rsidDel="00000000" w:rsidR="00000000" w:rsidRPr="00000000">
                  <w:rPr>
                    <w:rFonts w:ascii="Gungsuh" w:cs="Gungsuh" w:eastAsia="Gungsuh" w:hAnsi="Gungsuh"/>
                    <w:b w:val="0"/>
                    <w:i w:val="0"/>
                    <w:smallCaps w:val="0"/>
                    <w:strike w:val="0"/>
                    <w:color w:val="c00000"/>
                    <w:sz w:val="24"/>
                    <w:szCs w:val="24"/>
                    <w:u w:val="none"/>
                    <w:shd w:fill="auto" w:val="clear"/>
                    <w:vertAlign w:val="baseline"/>
                    <w:rtl w:val="0"/>
                  </w:rPr>
                  <w:t xml:space="preserve">第二次定期評量(暫)</w:t>
                </w:r>
              </w:sdtContent>
            </w:sdt>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第十五週</w:t>
              <w:br w:type="textWrapping"/>
              <w:t xml:space="preserve">12/6~12/12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A-8-4:因式分解：因式的意義（限制在二次多項式的一次因式）；二次多項式的因式分解意義。</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A-8-5:因式分解的方法：提公因式法；利用乘法公式與十字交乘法因式分解。</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a-Ⅳ-6:理解一元二次方程式及其解的意義，能以因式分解和配方法求解和驗算，並能運用到日常生活的情境解決問題。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3-1利用提公因式或乘法公式做因式分解</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1.將平方差的乘法公式(</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反過來，即成為可以用來進行多項式因式分解的平方差公式。</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2.將和、差平方的乘法公式反過來，即可用來進行多項式的因式分解。</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3.能用代換未知數的方式，套用乘法公式進行因式分解。</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【戶外教育】</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戶J2:擴充對環境的理解，運用所學的知識到生活當中，具備觀察、描述、測量、紀錄的能力。</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第十六週</w:t>
              <w:br w:type="textWrapping"/>
              <w:t xml:space="preserve">12/13~12/19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A-8-5:因式分解的方法：提公因式法；利用乘法公式與十字交乘法因式分解。</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a-Ⅳ-6:理解一元二次方程式及其解的意義，能以因式分解和配方法求解和驗算，並能運用到日常生活的情境解決問題。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3-2利用十字交乘法做因式分解</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1.將兩個一次式的乘積展開反過來觀察二次多項式的係數變化，藉以學會用十字交乘法進行因式分解。</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2.當二次多項式的係數的分解組合增多時，學會簡潔的判別方式選取正確的數字組合。</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3.當二次項的係數不為1時，係數的分解組合更為增多，要學會簡潔的判別方式選取正確的數字組合。</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4.會將十字交乘法搭配其他因式分解法進行解題。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閱J2:發展跨文本的比對、分析、深究的能力，以判讀文本知識的正確性。</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第十七週</w:t>
              <w:br w:type="textWrapping"/>
              <w:t xml:space="preserve">12/20~12/26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A-8-6:一元二次方程式的意義：一元二次方程式及其解，具體情境中列出一元二次方程式。</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A-8-7:一元二次方程式的解法與應用：利用因式分解、配方法、公式解一元二次方程式；應用問題；使用計算機計算一元二次方程式根的近似值。</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a-Ⅳ-6:理解一元二次方程式及其解的意義，能以因式分解和配方法求解和驗算，並能運用到日常生活的情境解決問題。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4-1因式分解解一元二次方程式</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1.由生活情境中知道一元二次方程式的意義。</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2.能說出一元二次方程式的解或根的意義。</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3.能驗算並指出一元二次方程式的解或根。</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4.利用因式分解將一元二次方程式化成兩個一次式的乘積。</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5.藉由問題探索得知，當</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＝0時，則</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＝0或</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6.利用提公因式解一元二次方程式。</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閱J2:發展跨文本的比對、分析、深究的能力，以判讀文本知識的正確性。</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24 八年級英語歌唱比賽(暫)</w:t>
                </w:r>
              </w:sdtContent>
            </w:sdt>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第十八週</w:t>
              <w:br w:type="textWrapping"/>
              <w:t xml:space="preserve">12/27~1/2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A-8-6:一元二次方程式的意義：一元二次方程式及其解，具體情境中列出一元二次方程式。</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A-8-7:一元二次方程式的解法與應用：利用因式分解、配方法、公式解一元二次方程式；應用問題；使用計算機計算一元二次方程式根的近似值。</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a-Ⅳ-6:理解一元二次方程式及其解的意義，能以因式分解和配方法求解和驗算，並能運用到日常生活的情境解決問題。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4-1因式分解解一元二次方程式</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1.能利用十字交乘法解一元二次方程式。</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2.能利用乘法公式解一元二次方程式。</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3.能綜合應用多種方法解一元二次方程式。</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閱J2:發展跨文本的比對、分析、深究的能力，以判讀文本知識的正確性。</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第十九週</w:t>
              <w:br w:type="textWrapping"/>
              <w:t xml:space="preserve">1/3~1/9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A-8-7:一元二次方程式的解法與應用：利用因式分解、配方法、公式解一元二次方程式；應用問題；使用計算機計算一元二次方程式根的近似值。</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a-Ⅳ-6:理解一元二次方程式及其解的意義，能以因式分解和配方法求解和驗算，並能運用到日常生活的情境解決問題。</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4-2配方法與公式解</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1.能解形如</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x</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0的一元二次方程式。</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2.解(</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x</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＞0的一元二次方程式。</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3.利用和、差的平方公式將</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x</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ax</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的式子配成完全平方式。</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4.能利用配方法解形如</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x</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ax</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1"/>
                <w:smallCaps w:val="0"/>
                <w:strike w:val="0"/>
                <w:color w:val="000000"/>
                <w:sz w:val="24"/>
                <w:szCs w:val="24"/>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＝0的一元二次方程式。</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4-3應用問題</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1.根據實際問題，依題意列出方程式，並化簡整理成一元二次方程式。</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2.利用已學過的方法解一元二次方程式的應用問題。</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3.在求出的所有解中，能選擇適合於原問題的答案。</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閱J2</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閱J3:理解學科知識內的重要詞彙的意涵，並懂得如何運用該詞彙與他人進行溝通。</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閱J4:除紙本閱讀之外，依學習需求選擇適當的閱讀媒材，並了解如何利用適當的管道獲得文本資源。</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七八九藝能科考試</w:t>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第二十週</w:t>
              <w:br w:type="textWrapping"/>
              <w:t xml:space="preserve">1/10~1/16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D-8-1:統計資料處理：累積次數、相對次數、累積相對次數折線圖。</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d-Ⅳ-1 理解常用統計圖表，並能運用簡單統計量分析資料的特性及使用統計軟體的資訊表徵，與人溝通。</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5-1資料整理與統計圖表</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1.能將資料整理成次數分配表並繪製次數分配折線圖。</w:t>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2.能由次數分配表整理成累積次數分配表並繪製累積次數分配折線圖。</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3.能報讀累積次數分配折線圖。</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4.能由次數分配表整理成相對次數分配表並繪製相對次數分配折線圖。</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5.生活中的圖表</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看懂疫情數據及世界各國疫況</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環J6:了解世界人口數量增加、糧食供給與營養的永續議題。</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環J9:了解氣候變遷減緩與調適的涵義，以及臺灣因應氣候變遷調適的政策。</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科E4:體會動手實作的樂趣，並養成正向的科技態度。</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閱J1閱J2</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閱J3閱J4</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性J14:認識社會中性別、種族與階級的權力結構關係。</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880" w:hRule="atLeast"/>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第二十一週</w:t>
              <w:br w:type="textWrapping"/>
              <w:t xml:space="preserve">1/17~1/21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D-8-1:統計資料處理：累積次數、相對次數、累積相對次數折線圖。</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d-Ⅳ-1 理解常用統計圖表，並能運用簡單統計量分析資料的特性及使用統計軟體的資訊表徵，與人溝通。</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5-1資料整理與統計圖表</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5.能報讀相對次數分配折線圖。</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6.能由相對次數分配表整理成累積相對次數分配表並繪製累積相對次數分配折線圖。</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7.能報讀累積相對次數分配折線圖。</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8.能由累積次數、相對次數或累積相對次數知道資料在整體中所占的相對位置。</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教學資源光碟</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1.紙筆測驗</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2.口頭詢問</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3.互相討論</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4.作業</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top"/>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環J6</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環J9</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【科技教育】</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科E1</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科E4</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【閱讀素養教育】</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閱J1閱J2</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閱J3閱J4</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性J14:認識社會中性別、種族與階級的權力結構關係。</w:t>
            </w:r>
          </w:p>
        </w:tc>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c00000"/>
                <w:sz w:val="24"/>
                <w:szCs w:val="24"/>
                <w:u w:val="none"/>
                <w:shd w:fill="auto" w:val="clear"/>
                <w:vertAlign w:val="baseline"/>
              </w:rPr>
            </w:pPr>
            <w:sdt>
              <w:sdtPr>
                <w:tag w:val="goog_rdk_11"/>
              </w:sdtPr>
              <w:sdtContent>
                <w:r w:rsidDel="00000000" w:rsidR="00000000" w:rsidRPr="00000000">
                  <w:rPr>
                    <w:rFonts w:ascii="Gungsuh" w:cs="Gungsuh" w:eastAsia="Gungsuh" w:hAnsi="Gungsuh"/>
                    <w:b w:val="0"/>
                    <w:i w:val="0"/>
                    <w:smallCaps w:val="0"/>
                    <w:strike w:val="0"/>
                    <w:color w:val="c00000"/>
                    <w:sz w:val="24"/>
                    <w:szCs w:val="24"/>
                    <w:u w:val="none"/>
                    <w:shd w:fill="auto" w:val="clear"/>
                    <w:vertAlign w:val="baseline"/>
                    <w:rtl w:val="0"/>
                  </w:rPr>
                  <w:t xml:space="preserve">第三次定期評量</w:t>
                </w:r>
              </w:sdtContent>
            </w:sdt>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六、法律規定教育議題實施規劃</w:t>
      </w:r>
      <w:r w:rsidDel="00000000" w:rsidR="00000000" w:rsidRPr="00000000">
        <w:rPr>
          <w:rtl w:val="0"/>
        </w:rPr>
      </w:r>
    </w:p>
    <w:tbl>
      <w:tblPr>
        <w:tblStyle w:val="Table3"/>
        <w:tblW w:w="13948.0" w:type="dxa"/>
        <w:jc w:val="center"/>
        <w:tblLayout w:type="fixed"/>
        <w:tblLook w:val="0000"/>
      </w:tblPr>
      <w:tblGrid>
        <w:gridCol w:w="705"/>
        <w:gridCol w:w="3438"/>
        <w:gridCol w:w="845"/>
        <w:gridCol w:w="2379"/>
        <w:gridCol w:w="1178"/>
        <w:gridCol w:w="1263"/>
        <w:gridCol w:w="4140"/>
        <w:tblGridChange w:id="0">
          <w:tblGrid>
            <w:gridCol w:w="705"/>
            <w:gridCol w:w="3438"/>
            <w:gridCol w:w="845"/>
            <w:gridCol w:w="2379"/>
            <w:gridCol w:w="1178"/>
            <w:gridCol w:w="1263"/>
            <w:gridCol w:w="4140"/>
          </w:tblGrid>
        </w:tblGridChange>
      </w:tblGrid>
      <w:t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序號</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重要教育工作</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納入課程規劃實施情形</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1"/>
                <w:i w:val="0"/>
                <w:smallCaps w:val="0"/>
                <w:strike w:val="0"/>
                <w:color w:val="ff0000"/>
                <w:sz w:val="20"/>
                <w:szCs w:val="20"/>
                <w:u w:val="none"/>
                <w:shd w:fill="auto" w:val="clear"/>
                <w:vertAlign w:val="baseline"/>
                <w:rtl w:val="0"/>
              </w:rPr>
              <w:t xml:space="preserve">（請視實際情形自行增列，內容須與各年級領域學習或彈性學習課程計畫相符）</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本學期</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實施時數</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相關規定說明</w:t>
            </w:r>
          </w:p>
        </w:tc>
      </w:tr>
      <w:t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實施年級</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領域學習或彈性學習課程別</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實施</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週次</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性別平等教育課程或活動</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8">
            <w:pPr>
              <w:ind w:firstLine="23"/>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數學領域</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性別平等教育法第17條</w:t>
            </w: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每學期至少4小時</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兒童及少年性剝削防制條例第4條</w:t>
            </w: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每學年應辦理兒童及少年性剝削防  </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治教育課程或教育宣導(建議融入)</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性侵害防治教育課程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性侵害犯罪防治法第7條</w:t>
            </w: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每學年至少4小時</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環境教育課程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數學領域</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20.21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環境教育法第19條</w:t>
            </w:r>
            <w:r w:rsidDel="00000000" w:rsidR="00000000" w:rsidRPr="00000000">
              <w:rPr>
                <w:rtl w:val="0"/>
              </w:rPr>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每學年至少4小時</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(含海洋教育1小時，環境倫理、永續發展、氣候變遷、災害防救、能源資源永續利用3小時)</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家庭教育課程及活動</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家庭教育法第12條</w:t>
            </w: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每學年至少4小時</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家庭暴力防治課程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家庭暴力防治法第60條)</w:t>
            </w: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每學年至少4小時</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全民國防教育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全民國防教育法第7條</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生涯發展教育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6">
            <w:pPr>
              <w:ind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數學領域</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詳見：</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生涯發展教育能力指標表融入各領域編寫說明</w:t>
            </w: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407"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1907" w:w="16839" w:orient="landscape"/>
      <w:pgMar w:bottom="851"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Times New Roman"/>
  <w:font w:name="Gungsuh"/>
  <w:font w:name="PMingLiu"/>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992"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內文">
    <w:name w:val="內文"/>
    <w:next w:val="內文"/>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style>
  <w:style w:type="paragraph" w:styleId="標題1">
    <w:name w:val="標題 1"/>
    <w:basedOn w:val="內文"/>
    <w:next w:val="內文"/>
    <w:autoRedefine w:val="0"/>
    <w:hidden w:val="0"/>
    <w:qFormat w:val="0"/>
    <w:pPr>
      <w:keepNext w:val="1"/>
      <w:keepLines w:val="1"/>
      <w:suppressAutoHyphens w:val="1"/>
      <w:spacing w:after="120" w:before="480" w:line="1" w:lineRule="atLeast"/>
      <w:ind w:leftChars="-1" w:rightChars="0" w:firstLine="23" w:firstLineChars="-1"/>
      <w:contextualSpacing w:val="1"/>
      <w:jc w:val="both"/>
      <w:textDirection w:val="btLr"/>
      <w:textAlignment w:val="top"/>
      <w:outlineLvl w:val="0"/>
    </w:pPr>
    <w:rPr>
      <w:b w:val="1"/>
      <w:color w:val="000000"/>
      <w:w w:val="100"/>
      <w:position w:val="-1"/>
      <w:sz w:val="48"/>
      <w:szCs w:val="48"/>
      <w:effect w:val="none"/>
      <w:vertAlign w:val="baseline"/>
      <w:cs w:val="0"/>
      <w:em w:val="none"/>
      <w:lang w:bidi="ar-SA" w:eastAsia="zh-TW" w:val="en-US"/>
    </w:rPr>
  </w:style>
  <w:style w:type="paragraph" w:styleId="標題2">
    <w:name w:val="標題 2"/>
    <w:basedOn w:val="內文"/>
    <w:next w:val="內文"/>
    <w:autoRedefine w:val="0"/>
    <w:hidden w:val="0"/>
    <w:qFormat w:val="0"/>
    <w:pPr>
      <w:keepNext w:val="1"/>
      <w:keepLines w:val="1"/>
      <w:suppressAutoHyphens w:val="1"/>
      <w:spacing w:after="80" w:before="360" w:line="1" w:lineRule="atLeast"/>
      <w:ind w:leftChars="-1" w:rightChars="0" w:firstLine="23" w:firstLineChars="-1"/>
      <w:contextualSpacing w:val="1"/>
      <w:jc w:val="both"/>
      <w:textDirection w:val="btLr"/>
      <w:textAlignment w:val="top"/>
      <w:outlineLvl w:val="1"/>
    </w:pPr>
    <w:rPr>
      <w:b w:val="1"/>
      <w:color w:val="000000"/>
      <w:w w:val="100"/>
      <w:position w:val="-1"/>
      <w:sz w:val="36"/>
      <w:szCs w:val="36"/>
      <w:effect w:val="none"/>
      <w:vertAlign w:val="baseline"/>
      <w:cs w:val="0"/>
      <w:em w:val="none"/>
      <w:lang w:bidi="ar-SA" w:eastAsia="zh-TW" w:val="en-US"/>
    </w:rPr>
  </w:style>
  <w:style w:type="paragraph" w:styleId="標題3">
    <w:name w:val="標題 3"/>
    <w:basedOn w:val="內文"/>
    <w:next w:val="內文"/>
    <w:autoRedefine w:val="0"/>
    <w:hidden w:val="0"/>
    <w:qFormat w:val="0"/>
    <w:pPr>
      <w:keepNext w:val="1"/>
      <w:keepLines w:val="1"/>
      <w:suppressAutoHyphens w:val="1"/>
      <w:spacing w:after="80" w:before="280" w:line="1" w:lineRule="atLeast"/>
      <w:ind w:leftChars="-1" w:rightChars="0" w:firstLine="23" w:firstLineChars="-1"/>
      <w:contextualSpacing w:val="1"/>
      <w:jc w:val="both"/>
      <w:textDirection w:val="btLr"/>
      <w:textAlignment w:val="top"/>
      <w:outlineLvl w:val="2"/>
    </w:pPr>
    <w:rPr>
      <w:b w:val="1"/>
      <w:color w:val="000000"/>
      <w:w w:val="100"/>
      <w:position w:val="-1"/>
      <w:sz w:val="28"/>
      <w:szCs w:val="28"/>
      <w:effect w:val="none"/>
      <w:vertAlign w:val="baseline"/>
      <w:cs w:val="0"/>
      <w:em w:val="none"/>
      <w:lang w:bidi="ar-SA" w:eastAsia="zh-TW" w:val="en-US"/>
    </w:rPr>
  </w:style>
  <w:style w:type="paragraph" w:styleId="標題4">
    <w:name w:val="標題 4"/>
    <w:basedOn w:val="內文"/>
    <w:next w:val="內文"/>
    <w:autoRedefine w:val="0"/>
    <w:hidden w:val="0"/>
    <w:qFormat w:val="0"/>
    <w:pPr>
      <w:keepNext w:val="1"/>
      <w:keepLines w:val="1"/>
      <w:suppressAutoHyphens w:val="1"/>
      <w:spacing w:after="40" w:before="240" w:line="1" w:lineRule="atLeast"/>
      <w:ind w:leftChars="-1" w:rightChars="0" w:firstLine="23" w:firstLineChars="-1"/>
      <w:contextualSpacing w:val="1"/>
      <w:jc w:val="both"/>
      <w:textDirection w:val="btLr"/>
      <w:textAlignment w:val="top"/>
      <w:outlineLvl w:val="3"/>
    </w:pPr>
    <w:rPr>
      <w:b w:val="1"/>
      <w:color w:val="000000"/>
      <w:w w:val="100"/>
      <w:position w:val="-1"/>
      <w:sz w:val="24"/>
      <w:szCs w:val="24"/>
      <w:effect w:val="none"/>
      <w:vertAlign w:val="baseline"/>
      <w:cs w:val="0"/>
      <w:em w:val="none"/>
      <w:lang w:bidi="ar-SA" w:eastAsia="zh-TW" w:val="en-US"/>
    </w:rPr>
  </w:style>
  <w:style w:type="paragraph" w:styleId="標題5">
    <w:name w:val="標題 5"/>
    <w:basedOn w:val="內文"/>
    <w:next w:val="內文"/>
    <w:autoRedefine w:val="0"/>
    <w:hidden w:val="0"/>
    <w:qFormat w:val="0"/>
    <w:pPr>
      <w:keepNext w:val="1"/>
      <w:keepLines w:val="1"/>
      <w:suppressAutoHyphens w:val="1"/>
      <w:spacing w:after="40" w:before="220" w:line="1" w:lineRule="atLeast"/>
      <w:ind w:leftChars="-1" w:rightChars="0" w:firstLine="23" w:firstLineChars="-1"/>
      <w:contextualSpacing w:val="1"/>
      <w:jc w:val="both"/>
      <w:textDirection w:val="btLr"/>
      <w:textAlignment w:val="top"/>
      <w:outlineLvl w:val="4"/>
    </w:pPr>
    <w:rPr>
      <w:b w:val="1"/>
      <w:color w:val="000000"/>
      <w:w w:val="100"/>
      <w:position w:val="-1"/>
      <w:sz w:val="22"/>
      <w:szCs w:val="22"/>
      <w:effect w:val="none"/>
      <w:vertAlign w:val="baseline"/>
      <w:cs w:val="0"/>
      <w:em w:val="none"/>
      <w:lang w:bidi="ar-SA" w:eastAsia="zh-TW" w:val="en-US"/>
    </w:rPr>
  </w:style>
  <w:style w:type="paragraph" w:styleId="標題6">
    <w:name w:val="標題 6"/>
    <w:basedOn w:val="內文"/>
    <w:next w:val="內文"/>
    <w:autoRedefine w:val="0"/>
    <w:hidden w:val="0"/>
    <w:qFormat w:val="0"/>
    <w:pPr>
      <w:keepNext w:val="1"/>
      <w:keepLines w:val="1"/>
      <w:suppressAutoHyphens w:val="1"/>
      <w:spacing w:after="40" w:before="200" w:line="1" w:lineRule="atLeast"/>
      <w:ind w:leftChars="-1" w:rightChars="0" w:firstLine="23" w:firstLineChars="-1"/>
      <w:contextualSpacing w:val="1"/>
      <w:jc w:val="both"/>
      <w:textDirection w:val="btLr"/>
      <w:textAlignment w:val="top"/>
      <w:outlineLvl w:val="5"/>
    </w:pPr>
    <w:rPr>
      <w:b w:val="1"/>
      <w:color w:val="000000"/>
      <w:w w:val="100"/>
      <w:position w:val="-1"/>
      <w:effect w:val="none"/>
      <w:vertAlign w:val="baseline"/>
      <w:cs w:val="0"/>
      <w:em w:val="none"/>
      <w:lang w:bidi="ar-SA" w:eastAsia="zh-TW" w:val="en-US"/>
    </w:rPr>
  </w:style>
  <w:style w:type="character" w:styleId="預設段落字型">
    <w:name w:val="預設段落字型"/>
    <w:next w:val="預設段落字型"/>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table" w:styleId="TableNormal">
    <w:name w:val="Table Normal"/>
    <w:next w:val="TableNormal"/>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TableNormal"/>
      <w:jc w:val="left"/>
      <w:tblCellMar>
        <w:top w:w="0.0" w:type="dxa"/>
        <w:left w:w="0.0" w:type="dxa"/>
        <w:bottom w:w="0.0" w:type="dxa"/>
        <w:right w:w="0.0" w:type="dxa"/>
      </w:tblCellMar>
    </w:tblPr>
  </w:style>
  <w:style w:type="paragraph" w:styleId="標題">
    <w:name w:val="標題"/>
    <w:basedOn w:val="內文"/>
    <w:next w:val="內文"/>
    <w:autoRedefine w:val="0"/>
    <w:hidden w:val="0"/>
    <w:qFormat w:val="0"/>
    <w:pPr>
      <w:keepNext w:val="1"/>
      <w:keepLines w:val="1"/>
      <w:suppressAutoHyphens w:val="1"/>
      <w:spacing w:after="120" w:before="480" w:line="1" w:lineRule="atLeast"/>
      <w:ind w:leftChars="-1" w:rightChars="0" w:firstLine="23" w:firstLineChars="-1"/>
      <w:contextualSpacing w:val="1"/>
      <w:jc w:val="both"/>
      <w:textDirection w:val="btLr"/>
      <w:textAlignment w:val="top"/>
      <w:outlineLvl w:val="0"/>
    </w:pPr>
    <w:rPr>
      <w:b w:val="1"/>
      <w:color w:val="000000"/>
      <w:w w:val="100"/>
      <w:position w:val="-1"/>
      <w:sz w:val="72"/>
      <w:szCs w:val="72"/>
      <w:effect w:val="none"/>
      <w:vertAlign w:val="baseline"/>
      <w:cs w:val="0"/>
      <w:em w:val="none"/>
      <w:lang w:bidi="ar-SA" w:eastAsia="zh-TW" w:val="en-US"/>
    </w:rPr>
  </w:style>
  <w:style w:type="paragraph" w:styleId="副標題">
    <w:name w:val="副標題"/>
    <w:basedOn w:val="內文"/>
    <w:next w:val="內文"/>
    <w:autoRedefine w:val="0"/>
    <w:hidden w:val="0"/>
    <w:qFormat w:val="0"/>
    <w:pPr>
      <w:keepNext w:val="1"/>
      <w:keepLines w:val="1"/>
      <w:suppressAutoHyphens w:val="1"/>
      <w:spacing w:after="80" w:before="360" w:line="1" w:lineRule="atLeast"/>
      <w:ind w:leftChars="-1" w:rightChars="0" w:firstLine="23" w:firstLineChars="-1"/>
      <w:contextualSpacing w:val="1"/>
      <w:jc w:val="both"/>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zh-TW" w:val="en-US"/>
    </w:rPr>
  </w:style>
  <w:style w:type="table" w:styleId="0">
    <w:name w:val=""/>
    <w:basedOn w:val="TableNormal"/>
    <w:next w:val="0"/>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0"/>
      <w:tblStyleRowBandSize w:val="1"/>
      <w:tblStyleColBandSize w:val="1"/>
      <w:jc w:val="left"/>
      <w:tblCellMar>
        <w:left w:w="28.0" w:type="dxa"/>
        <w:right w:w="28.0" w:type="dxa"/>
      </w:tblCellMar>
    </w:tblPr>
  </w:style>
  <w:style w:type="table" w:styleId="1">
    <w:name w:val=""/>
    <w:basedOn w:val="TableNormal"/>
    <w:next w:val="1"/>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
      <w:tblStyleRowBandSize w:val="1"/>
      <w:tblStyleColBandSize w:val="1"/>
      <w:jc w:val="left"/>
      <w:tblCellMar>
        <w:left w:w="28.0" w:type="dxa"/>
        <w:right w:w="28.0" w:type="dxa"/>
      </w:tblCellMar>
    </w:tblPr>
  </w:style>
  <w:style w:type="table" w:styleId="2">
    <w:name w:val=""/>
    <w:basedOn w:val="TableNormal"/>
    <w:next w:val="2"/>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
      <w:tblStyleRowBandSize w:val="1"/>
      <w:tblStyleColBandSize w:val="1"/>
      <w:jc w:val="left"/>
      <w:tblCellMar>
        <w:left w:w="108.0" w:type="dxa"/>
        <w:right w:w="108.0" w:type="dxa"/>
      </w:tblCellMar>
    </w:tblPr>
  </w:style>
  <w:style w:type="table" w:styleId="3">
    <w:name w:val=""/>
    <w:basedOn w:val="TableNormal"/>
    <w:next w:val="3"/>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3"/>
      <w:tblStyleRowBandSize w:val="1"/>
      <w:tblStyleColBandSize w:val="1"/>
      <w:jc w:val="left"/>
      <w:tblCellMar>
        <w:left w:w="28.0" w:type="dxa"/>
        <w:right w:w="28.0" w:type="dxa"/>
      </w:tblCellMar>
    </w:tblPr>
  </w:style>
  <w:style w:type="table" w:styleId="4">
    <w:name w:val=""/>
    <w:basedOn w:val="TableNormal"/>
    <w:next w:val="4"/>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4"/>
      <w:tblStyleRowBandSize w:val="1"/>
      <w:tblStyleColBandSize w:val="1"/>
      <w:jc w:val="left"/>
    </w:tblPr>
  </w:style>
  <w:style w:type="table" w:styleId="5">
    <w:name w:val=""/>
    <w:basedOn w:val="TableNormal"/>
    <w:next w:val="5"/>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5"/>
      <w:tblStyleRowBandSize w:val="1"/>
      <w:tblStyleColBandSize w:val="1"/>
      <w:jc w:val="left"/>
    </w:tblPr>
  </w:style>
  <w:style w:type="table" w:styleId="6">
    <w:name w:val=""/>
    <w:basedOn w:val="TableNormal"/>
    <w:next w:val="6"/>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6"/>
      <w:tblStyleRowBandSize w:val="1"/>
      <w:tblStyleColBandSize w:val="1"/>
      <w:jc w:val="left"/>
    </w:tblPr>
  </w:style>
  <w:style w:type="table" w:styleId="7">
    <w:name w:val=""/>
    <w:basedOn w:val="TableNormal"/>
    <w:next w:val="7"/>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7"/>
      <w:tblStyleRowBandSize w:val="1"/>
      <w:tblStyleColBandSize w:val="1"/>
      <w:jc w:val="left"/>
    </w:tblPr>
  </w:style>
  <w:style w:type="table" w:styleId="8">
    <w:name w:val=""/>
    <w:basedOn w:val="TableNormal"/>
    <w:next w:val="8"/>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8"/>
      <w:tblStyleRowBandSize w:val="1"/>
      <w:tblStyleColBandSize w:val="1"/>
      <w:jc w:val="left"/>
      <w:tblCellMar>
        <w:left w:w="108.0" w:type="dxa"/>
        <w:right w:w="108.0" w:type="dxa"/>
      </w:tblCellMar>
    </w:tblPr>
  </w:style>
  <w:style w:type="table" w:styleId="9">
    <w:name w:val=""/>
    <w:basedOn w:val="TableNormal"/>
    <w:next w:val="9"/>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9"/>
      <w:tblStyleRowBandSize w:val="1"/>
      <w:tblStyleColBandSize w:val="1"/>
      <w:jc w:val="left"/>
      <w:tblCellMar>
        <w:left w:w="28.0" w:type="dxa"/>
        <w:right w:w="28.0" w:type="dxa"/>
      </w:tblCellMar>
    </w:tblPr>
  </w:style>
  <w:style w:type="table" w:styleId="10">
    <w:name w:val=""/>
    <w:basedOn w:val="TableNormal"/>
    <w:next w:val="10"/>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0"/>
      <w:tblStyleRowBandSize w:val="1"/>
      <w:tblStyleColBandSize w:val="1"/>
      <w:jc w:val="left"/>
      <w:tblCellMar>
        <w:left w:w="28.0" w:type="dxa"/>
        <w:right w:w="28.0" w:type="dxa"/>
      </w:tblCellMar>
    </w:tblPr>
  </w:style>
  <w:style w:type="table" w:styleId="11">
    <w:name w:val=""/>
    <w:basedOn w:val="TableNormal"/>
    <w:next w:val="11"/>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1"/>
      <w:tblStyleRowBandSize w:val="1"/>
      <w:tblStyleColBandSize w:val="1"/>
      <w:jc w:val="left"/>
      <w:tblCellMar>
        <w:left w:w="108.0" w:type="dxa"/>
        <w:right w:w="108.0" w:type="dxa"/>
      </w:tblCellMar>
    </w:tblPr>
  </w:style>
  <w:style w:type="table" w:styleId="12">
    <w:name w:val=""/>
    <w:basedOn w:val="TableNormal"/>
    <w:next w:val="12"/>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2"/>
      <w:tblStyleRowBandSize w:val="1"/>
      <w:tblStyleColBandSize w:val="1"/>
      <w:jc w:val="left"/>
      <w:tblCellMar>
        <w:left w:w="28.0" w:type="dxa"/>
        <w:right w:w="28.0" w:type="dxa"/>
      </w:tblCellMar>
    </w:tblPr>
  </w:style>
  <w:style w:type="table" w:styleId="13">
    <w:name w:val=""/>
    <w:basedOn w:val="TableNormal"/>
    <w:next w:val="13"/>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3"/>
      <w:tblStyleRowBandSize w:val="1"/>
      <w:tblStyleColBandSize w:val="1"/>
      <w:jc w:val="left"/>
      <w:tblCellMar>
        <w:left w:w="108.0" w:type="dxa"/>
        <w:right w:w="108.0" w:type="dxa"/>
      </w:tblCellMar>
    </w:tblPr>
  </w:style>
  <w:style w:type="table" w:styleId="14">
    <w:name w:val=""/>
    <w:basedOn w:val="TableNormal"/>
    <w:next w:val="14"/>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4"/>
      <w:tblStyleRowBandSize w:val="1"/>
      <w:tblStyleColBandSize w:val="1"/>
      <w:jc w:val="left"/>
    </w:tblPr>
  </w:style>
  <w:style w:type="table" w:styleId="15">
    <w:name w:val=""/>
    <w:basedOn w:val="TableNormal"/>
    <w:next w:val="15"/>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5"/>
      <w:tblStyleRowBandSize w:val="1"/>
      <w:tblStyleColBandSize w:val="1"/>
      <w:jc w:val="left"/>
      <w:tblCellMar>
        <w:left w:w="28.0" w:type="dxa"/>
        <w:right w:w="28.0" w:type="dxa"/>
      </w:tblCellMar>
    </w:tblPr>
  </w:style>
  <w:style w:type="table" w:styleId="16">
    <w:name w:val=""/>
    <w:basedOn w:val="TableNormal"/>
    <w:next w:val="16"/>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6"/>
      <w:tblStyleRowBandSize w:val="1"/>
      <w:tblStyleColBandSize w:val="1"/>
      <w:jc w:val="left"/>
      <w:tblCellMar>
        <w:left w:w="28.0" w:type="dxa"/>
        <w:right w:w="28.0" w:type="dxa"/>
      </w:tblCellMar>
    </w:tblPr>
  </w:style>
  <w:style w:type="table" w:styleId="17">
    <w:name w:val=""/>
    <w:basedOn w:val="TableNormal"/>
    <w:next w:val="17"/>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7"/>
      <w:tblStyleRowBandSize w:val="1"/>
      <w:tblStyleColBandSize w:val="1"/>
      <w:jc w:val="left"/>
      <w:tblCellMar>
        <w:left w:w="28.0" w:type="dxa"/>
        <w:right w:w="28.0" w:type="dxa"/>
      </w:tblCellMar>
    </w:tblPr>
  </w:style>
  <w:style w:type="table" w:styleId="18">
    <w:name w:val=""/>
    <w:basedOn w:val="TableNormal"/>
    <w:next w:val="18"/>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8"/>
      <w:tblStyleRowBandSize w:val="1"/>
      <w:tblStyleColBandSize w:val="1"/>
      <w:jc w:val="left"/>
      <w:tblCellMar>
        <w:left w:w="28.0" w:type="dxa"/>
        <w:right w:w="28.0" w:type="dxa"/>
      </w:tblCellMar>
    </w:tblPr>
  </w:style>
  <w:style w:type="table" w:styleId="19">
    <w:name w:val=""/>
    <w:basedOn w:val="TableNormal"/>
    <w:next w:val="19"/>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19"/>
      <w:tblStyleRowBandSize w:val="1"/>
      <w:tblStyleColBandSize w:val="1"/>
      <w:jc w:val="left"/>
      <w:tblCellMar>
        <w:left w:w="108.0" w:type="dxa"/>
        <w:right w:w="108.0" w:type="dxa"/>
      </w:tblCellMar>
    </w:tblPr>
  </w:style>
  <w:style w:type="table" w:styleId="20">
    <w:name w:val=""/>
    <w:basedOn w:val="TableNormal"/>
    <w:next w:val="20"/>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0"/>
      <w:tblStyleRowBandSize w:val="1"/>
      <w:tblStyleColBandSize w:val="1"/>
      <w:jc w:val="left"/>
    </w:tblPr>
  </w:style>
  <w:style w:type="table" w:styleId="21">
    <w:name w:val=""/>
    <w:basedOn w:val="TableNormal"/>
    <w:next w:val="21"/>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1"/>
      <w:tblStyleRowBandSize w:val="1"/>
      <w:tblStyleColBandSize w:val="1"/>
      <w:jc w:val="left"/>
    </w:tblPr>
  </w:style>
  <w:style w:type="table" w:styleId="22">
    <w:name w:val=""/>
    <w:basedOn w:val="TableNormal"/>
    <w:next w:val="22"/>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2"/>
      <w:tblStyleRowBandSize w:val="1"/>
      <w:tblStyleColBandSize w:val="1"/>
      <w:jc w:val="left"/>
      <w:tblCellMar>
        <w:top w:w="15.0" w:type="dxa"/>
        <w:left w:w="15.0" w:type="dxa"/>
        <w:bottom w:w="15.0" w:type="dxa"/>
        <w:right w:w="15.0" w:type="dxa"/>
      </w:tblCellMar>
    </w:tblPr>
  </w:style>
  <w:style w:type="table" w:styleId="23">
    <w:name w:val=""/>
    <w:basedOn w:val="TableNormal"/>
    <w:next w:val="23"/>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3"/>
      <w:tblStyleRowBandSize w:val="1"/>
      <w:tblStyleColBandSize w:val="1"/>
      <w:jc w:val="left"/>
      <w:tblCellMar>
        <w:top w:w="15.0" w:type="dxa"/>
        <w:left w:w="15.0" w:type="dxa"/>
        <w:bottom w:w="15.0" w:type="dxa"/>
        <w:right w:w="15.0" w:type="dxa"/>
      </w:tblCellMar>
    </w:tblPr>
  </w:style>
  <w:style w:type="table" w:styleId="24">
    <w:name w:val=""/>
    <w:basedOn w:val="TableNormal"/>
    <w:next w:val="24"/>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4"/>
      <w:tblStyleRowBandSize w:val="1"/>
      <w:tblStyleColBandSize w:val="1"/>
      <w:jc w:val="left"/>
      <w:tblCellMar>
        <w:top w:w="15.0" w:type="dxa"/>
        <w:left w:w="15.0" w:type="dxa"/>
        <w:bottom w:w="15.0" w:type="dxa"/>
        <w:right w:w="15.0" w:type="dxa"/>
      </w:tblCellMar>
    </w:tblPr>
  </w:style>
  <w:style w:type="table" w:styleId="25">
    <w:name w:val=""/>
    <w:basedOn w:val="TableNormal"/>
    <w:next w:val="25"/>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25"/>
      <w:tblStyleRowBandSize w:val="1"/>
      <w:tblStyleColBandSize w:val="1"/>
      <w:jc w:val="left"/>
      <w:tblCellMar>
        <w:top w:w="60.0" w:type="dxa"/>
        <w:left w:w="60.0" w:type="dxa"/>
        <w:bottom w:w="60.0" w:type="dxa"/>
        <w:right w:w="60.0" w:type="dxa"/>
      </w:tblCellMar>
    </w:tblPr>
  </w:style>
  <w:style w:type="table" w:styleId="">
    <w:name w:val=""/>
    <w:basedOn w:val="TableNormal"/>
    <w:next w:val=""/>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tblPr>
      <w:tblStyle w:val=""/>
      <w:tblStyleRowBandSize w:val="1"/>
      <w:tblStyleColBandSize w:val="1"/>
      <w:jc w:val="left"/>
      <w:tblCellMar>
        <w:left w:w="28.0" w:type="dxa"/>
        <w:right w:w="28.0" w:type="dxa"/>
      </w:tblCellMar>
    </w:tblPr>
  </w:style>
  <w:style w:type="paragraph" w:styleId="清單段落">
    <w:name w:val="清單段落"/>
    <w:basedOn w:val="內文"/>
    <w:next w:val="清單段落"/>
    <w:autoRedefine w:val="0"/>
    <w:hidden w:val="0"/>
    <w:qFormat w:val="0"/>
    <w:pPr>
      <w:suppressAutoHyphens w:val="1"/>
      <w:spacing w:line="1" w:lineRule="atLeast"/>
      <w:ind w:left="480" w:leftChars="200"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style>
  <w:style w:type="character" w:styleId="apple-converted-space">
    <w:name w:val="apple-converted-space"/>
    <w:basedOn w:val="預設段落字型"/>
    <w:next w:val="apple-converted-space"/>
    <w:autoRedefine w:val="0"/>
    <w:hidden w:val="0"/>
    <w:qFormat w:val="0"/>
    <w:rPr>
      <w:w w:val="100"/>
      <w:position w:val="-1"/>
      <w:effect w:val="none"/>
      <w:vertAlign w:val="baseline"/>
      <w:cs w:val="0"/>
      <w:em w:val="none"/>
      <w:lang/>
    </w:rPr>
  </w:style>
  <w:style w:type="paragraph" w:styleId="註解方塊文字">
    <w:name w:val="註解方塊文字"/>
    <w:basedOn w:val="內文"/>
    <w:next w:val="註解方塊文字"/>
    <w:autoRedefine w:val="0"/>
    <w:hidden w:val="0"/>
    <w:qFormat w:val="1"/>
    <w:pPr>
      <w:suppressAutoHyphens w:val="1"/>
      <w:spacing w:line="1" w:lineRule="atLeast"/>
      <w:ind w:leftChars="-1" w:rightChars="0" w:firstLine="23" w:firstLineChars="-1"/>
      <w:jc w:val="both"/>
      <w:textDirection w:val="btLr"/>
      <w:textAlignment w:val="top"/>
      <w:outlineLvl w:val="0"/>
    </w:pPr>
    <w:rPr>
      <w:rFonts w:ascii="Calibri Light" w:cs="Times New Roman" w:eastAsia="新細明體" w:hAnsi="Calibri Light"/>
      <w:color w:val="000000"/>
      <w:w w:val="100"/>
      <w:position w:val="-1"/>
      <w:sz w:val="18"/>
      <w:szCs w:val="18"/>
      <w:effect w:val="none"/>
      <w:vertAlign w:val="baseline"/>
      <w:cs w:val="0"/>
      <w:em w:val="none"/>
      <w:lang w:bidi="ar-SA" w:eastAsia="zh-TW" w:val="en-US"/>
    </w:rPr>
  </w:style>
  <w:style w:type="character" w:styleId="註解方塊文字字元">
    <w:name w:val="註解方塊文字 字元"/>
    <w:next w:val="註解方塊文字字元"/>
    <w:autoRedefine w:val="0"/>
    <w:hidden w:val="0"/>
    <w:qFormat w:val="0"/>
    <w:rPr>
      <w:rFonts w:ascii="Calibri Light" w:cs="Times New Roman" w:eastAsia="新細明體" w:hAnsi="Calibri Light"/>
      <w:w w:val="100"/>
      <w:position w:val="-1"/>
      <w:sz w:val="18"/>
      <w:szCs w:val="18"/>
      <w:effect w:val="none"/>
      <w:vertAlign w:val="baseline"/>
      <w:cs w:val="0"/>
      <w:em w:val="none"/>
      <w:lang/>
    </w:rPr>
  </w:style>
  <w:style w:type="paragraph" w:styleId="頁首">
    <w:name w:val="頁首"/>
    <w:basedOn w:val="內文"/>
    <w:next w:val="頁首"/>
    <w:autoRedefine w:val="0"/>
    <w:hidden w:val="0"/>
    <w:qFormat w:val="1"/>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style>
  <w:style w:type="character" w:styleId="頁首字元">
    <w:name w:val="頁首 字元"/>
    <w:basedOn w:val="預設段落字型"/>
    <w:next w:val="頁首字元"/>
    <w:autoRedefine w:val="0"/>
    <w:hidden w:val="0"/>
    <w:qFormat w:val="0"/>
    <w:rPr>
      <w:w w:val="100"/>
      <w:position w:val="-1"/>
      <w:effect w:val="none"/>
      <w:vertAlign w:val="baseline"/>
      <w:cs w:val="0"/>
      <w:em w:val="none"/>
      <w:lang/>
    </w:rPr>
  </w:style>
  <w:style w:type="paragraph" w:styleId="頁尾">
    <w:name w:val="頁尾"/>
    <w:basedOn w:val="內文"/>
    <w:next w:val="頁尾"/>
    <w:autoRedefine w:val="0"/>
    <w:hidden w:val="0"/>
    <w:qFormat w:val="1"/>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style>
  <w:style w:type="character" w:styleId="頁尾字元">
    <w:name w:val="頁尾 字元"/>
    <w:basedOn w:val="預設段落字型"/>
    <w:next w:val="頁尾字元"/>
    <w:autoRedefine w:val="0"/>
    <w:hidden w:val="0"/>
    <w:qFormat w:val="0"/>
    <w:rPr>
      <w:w w:val="100"/>
      <w:position w:val="-1"/>
      <w:effect w:val="none"/>
      <w:vertAlign w:val="baseline"/>
      <w:cs w:val="0"/>
      <w:em w:val="none"/>
      <w:lang/>
    </w:rPr>
  </w:style>
  <w:style w:type="table" w:styleId="表格格線">
    <w:name w:val="表格格線"/>
    <w:basedOn w:val="表格內文"/>
    <w:next w:val="表格格線"/>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無間距">
    <w:name w:val="無間距"/>
    <w:next w:val="無間距"/>
    <w:autoRedefine w:val="0"/>
    <w:hidden w:val="0"/>
    <w:qFormat w:val="0"/>
    <w:pPr>
      <w:suppressAutoHyphens w:val="1"/>
      <w:spacing w:line="1" w:lineRule="atLeast"/>
      <w:ind w:leftChars="-1" w:rightChars="0" w:firstLine="23" w:firstLineChars="-1"/>
      <w:jc w:val="both"/>
      <w:textDirection w:val="btLr"/>
      <w:textAlignment w:val="top"/>
      <w:outlineLvl w:val="0"/>
    </w:pPr>
    <w:rPr>
      <w:color w:val="000000"/>
      <w:w w:val="100"/>
      <w:position w:val="-1"/>
      <w:effect w:val="none"/>
      <w:vertAlign w:val="baseline"/>
      <w:cs w:val="0"/>
      <w:em w:val="none"/>
      <w:lang w:bidi="ar-SA" w:eastAsia="zh-TW"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23" w:firstLineChars="-1"/>
      <w:jc w:val="both"/>
      <w:textDirection w:val="btLr"/>
      <w:textAlignment w:val="top"/>
      <w:outlineLvl w:val="0"/>
    </w:pPr>
    <w:rPr>
      <w:rFonts w:ascii="標楷體" w:cs="標楷體" w:hAnsi="標楷體"/>
      <w:color w:val="000000"/>
      <w:w w:val="100"/>
      <w:position w:val="-1"/>
      <w:sz w:val="24"/>
      <w:szCs w:val="24"/>
      <w:effect w:val="none"/>
      <w:vertAlign w:val="baseline"/>
      <w:cs w:val="0"/>
      <w:em w:val="none"/>
      <w:lang w:bidi="ar-SA" w:eastAsia="zh-TW" w:val="en-US"/>
    </w:rPr>
  </w:style>
  <w:style w:type="paragraph" w:styleId="內文(Web)">
    <w:name w:val="內文 (Web)"/>
    <w:basedOn w:val="內文"/>
    <w:next w:val="內文(Web)"/>
    <w:autoRedefine w:val="0"/>
    <w:hidden w:val="0"/>
    <w:qFormat w:val="1"/>
    <w:pPr>
      <w:suppressAutoHyphens w:val="1"/>
      <w:spacing w:after="100" w:afterAutospacing="1" w:before="100" w:beforeAutospacing="1" w:line="1" w:lineRule="atLeast"/>
      <w:ind w:leftChars="-1" w:rightChars="0" w:firstLine="0" w:firstLineChars="-1"/>
      <w:jc w:val="left"/>
      <w:textDirection w:val="btLr"/>
      <w:textAlignment w:val="top"/>
      <w:outlineLvl w:val="0"/>
    </w:pPr>
    <w:rPr>
      <w:rFonts w:ascii="新細明體" w:cs="新細明體" w:eastAsia="新細明體" w:hAnsi="新細明體"/>
      <w:color w:val="auto"/>
      <w:w w:val="100"/>
      <w:position w:val="-1"/>
      <w:sz w:val="24"/>
      <w:szCs w:val="24"/>
      <w:effect w:val="none"/>
      <w:vertAlign w:val="baseline"/>
      <w:cs w:val="0"/>
      <w:em w:val="none"/>
      <w:lang w:bidi="ar-SA" w:eastAsia="zh-TW" w:val="en-US"/>
    </w:rPr>
  </w:style>
  <w:style w:type="paragraph" w:styleId="4.【教學目標】內文字（1.2.3.）">
    <w:name w:val="4.【教學目標】內文字（1.2.3.）"/>
    <w:basedOn w:val="純文字"/>
    <w:next w:val="4.【教學目標】內文字（1.2.3.）"/>
    <w:autoRedefine w:val="0"/>
    <w:hidden w:val="0"/>
    <w:qFormat w:val="0"/>
    <w:pPr>
      <w:widowControl w:val="0"/>
      <w:tabs>
        <w:tab w:val="left" w:leader="none" w:pos="142"/>
      </w:tabs>
      <w:suppressAutoHyphens w:val="1"/>
      <w:spacing w:line="220" w:lineRule="atLeast"/>
      <w:ind w:left="227" w:right="57" w:leftChars="-1" w:rightChars="0" w:hanging="170" w:firstLineChars="-1"/>
      <w:jc w:val="both"/>
      <w:textDirection w:val="btLr"/>
      <w:textAlignment w:val="top"/>
      <w:outlineLvl w:val="0"/>
    </w:pPr>
    <w:rPr>
      <w:rFonts w:ascii="新細明體" w:cs="Times New Roman" w:eastAsia="新細明體" w:hAnsi="Courier New"/>
      <w:color w:val="auto"/>
      <w:w w:val="100"/>
      <w:kern w:val="2"/>
      <w:position w:val="-1"/>
      <w:sz w:val="16"/>
      <w:szCs w:val="20"/>
      <w:effect w:val="none"/>
      <w:vertAlign w:val="baseline"/>
      <w:cs w:val="0"/>
      <w:em w:val="none"/>
      <w:lang w:bidi="ar-SA" w:eastAsia="zh-TW" w:val="en-US"/>
    </w:rPr>
  </w:style>
  <w:style w:type="paragraph" w:styleId="純文字">
    <w:name w:val="純文字"/>
    <w:basedOn w:val="內文"/>
    <w:next w:val="純文字"/>
    <w:autoRedefine w:val="0"/>
    <w:hidden w:val="0"/>
    <w:qFormat w:val="1"/>
    <w:pPr>
      <w:suppressAutoHyphens w:val="1"/>
      <w:spacing w:line="1" w:lineRule="atLeast"/>
      <w:ind w:leftChars="-1" w:rightChars="0" w:firstLine="23" w:firstLineChars="-1"/>
      <w:jc w:val="both"/>
      <w:textDirection w:val="btLr"/>
      <w:textAlignment w:val="top"/>
      <w:outlineLvl w:val="0"/>
    </w:pPr>
    <w:rPr>
      <w:rFonts w:ascii="細明體" w:cs="Courier New" w:eastAsia="細明體" w:hAnsi="Courier New"/>
      <w:color w:val="000000"/>
      <w:w w:val="100"/>
      <w:position w:val="-1"/>
      <w:sz w:val="24"/>
      <w:szCs w:val="24"/>
      <w:effect w:val="none"/>
      <w:vertAlign w:val="baseline"/>
      <w:cs w:val="0"/>
      <w:em w:val="none"/>
      <w:lang w:bidi="ar-SA" w:eastAsia="zh-TW" w:val="en-US"/>
    </w:rPr>
  </w:style>
  <w:style w:type="character" w:styleId="純文字字元">
    <w:name w:val="純文字 字元"/>
    <w:next w:val="純文字字元"/>
    <w:autoRedefine w:val="0"/>
    <w:hidden w:val="0"/>
    <w:qFormat w:val="0"/>
    <w:rPr>
      <w:rFonts w:ascii="細明體" w:cs="Courier New" w:eastAsia="細明體" w:hAnsi="Courier New"/>
      <w:color w:val="000000"/>
      <w:w w:val="100"/>
      <w:position w:val="-1"/>
      <w:sz w:val="24"/>
      <w:szCs w:val="24"/>
      <w:effect w:val="none"/>
      <w:vertAlign w:val="baseline"/>
      <w:cs w:val="0"/>
      <w:em w:val="none"/>
      <w:lang/>
    </w:rPr>
  </w:style>
  <w:style w:type="paragraph" w:styleId="樣式1">
    <w:name w:val="樣式1"/>
    <w:basedOn w:val="內文"/>
    <w:next w:val="樣式1"/>
    <w:autoRedefine w:val="0"/>
    <w:hidden w:val="0"/>
    <w:qFormat w:val="0"/>
    <w:pPr>
      <w:widowControl w:val="0"/>
      <w:suppressAutoHyphens w:val="1"/>
      <w:spacing w:line="220" w:lineRule="atLeast"/>
      <w:ind w:left="57" w:right="57" w:leftChars="-1" w:rightChars="0" w:firstLine="0" w:firstLineChars="-1"/>
      <w:jc w:val="left"/>
      <w:textDirection w:val="btLr"/>
      <w:textAlignment w:val="top"/>
      <w:outlineLvl w:val="0"/>
    </w:pPr>
    <w:rPr>
      <w:rFonts w:ascii="新細明體" w:hAnsi="新細明體"/>
      <w:color w:val="auto"/>
      <w:w w:val="100"/>
      <w:kern w:val="2"/>
      <w:position w:val="-1"/>
      <w:sz w:val="16"/>
      <w:szCs w:val="16"/>
      <w:effect w:val="none"/>
      <w:vertAlign w:val="baseline"/>
      <w:cs w:val="0"/>
      <w:em w:val="none"/>
      <w:lang w:bidi="ar-SA" w:eastAsia="zh-TW"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4MC0M5KYTxMoVvtIzTclziueA==">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2021-06-19T07:41:00Z</dcterms:created>
  <dc:creator>康軒文教事業;leard</dc:creator>
</cp:coreProperties>
</file>